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header+xml" PartName="/word/header1.xml"/>
  <Override ContentType="application/vnd.openxmlformats-officedocument.wordprocessingml.header+xml" PartName="/word/header2.xml"/>
  <Override ContentType="application/vnd.openxmlformats-officedocument.wordprocessingml.footer+xml" PartName="/word/footer1.xml"/>
  <Override ContentType="application/vnd.openxmlformats-officedocument.wordprocessingml.footer+xml" PartName="/word/footer2.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before="2200"/>
      </w:pPr>
    </w:p>
    <w:p>
      <w:pPr>
        <w:pStyle w:val="Title"/>
        <w:jc w:val="center"/>
      </w:pPr>
      <w:r>
        <w:t xml:space="preserve">AI-Adoption Roadmap — Sample Deliverable</w:t>
      </w:r>
    </w:p>
    <w:p>
      <w:pPr>
        <w:pBdr>
          <w:bottom w:val="single" w:color="F15A24" w:sz="16"/>
        </w:pBdr>
        <w:spacing w:after="320" w:before="80"/>
        <w:jc w:val="center"/>
      </w:pPr>
      <w:r>
        <w:rPr>
          <w:sz w:val="2"/>
          <w:szCs w:val="2"/>
        </w:rPr>
        <w:t xml:space="preserve"> </w:t>
      </w:r>
    </w:p>
    <w:p>
      <w:pPr>
        <w:spacing w:after="80"/>
        <w:jc w:val="center"/>
      </w:pPr>
      <w:r>
        <w:rPr>
          <w:color w:val="003540"/>
          <w:sz w:val="26"/>
          <w:szCs w:val="26"/>
        </w:rPr>
        <w:t xml:space="preserve">Prepared for Bellwood &amp; Cole</w:t>
      </w:r>
    </w:p>
    <w:p>
      <w:pPr>
        <w:spacing w:after="80"/>
        <w:jc w:val="center"/>
      </w:pPr>
      <w:r>
        <w:rPr>
          <w:color w:val="5B6B70"/>
          <w:sz w:val="20"/>
          <w:szCs w:val="20"/>
        </w:rPr>
        <w:t xml:space="preserve">Engagement Reference: sample</w:t>
      </w:r>
    </w:p>
    <w:p>
      <w:pPr>
        <w:spacing w:after="80"/>
        <w:jc w:val="center"/>
      </w:pPr>
      <w:r>
        <w:rPr>
          <w:color w:val="5B6B70"/>
          <w:sz w:val="20"/>
          <w:szCs w:val="20"/>
        </w:rPr>
        <w:t xml:space="preserve">Generated on August 27, 2026</w:t>
      </w:r>
    </w:p>
    <w:p>
      <w:pPr>
        <w:spacing w:before="400"/>
        <w:jc w:val="center"/>
      </w:pPr>
      <w:r>
        <w:rPr>
          <w:b/>
          <w:bCs/>
          <w:color w:val="C0392B"/>
          <w:sz w:val="24"/>
          <w:szCs w:val="24"/>
        </w:rPr>
        <w:t xml:space="preserve">DRAFT — not yet certified</w:t>
      </w:r>
    </w:p>
    <w:p>
      <w:r>
        <w:br w:type="page"/>
      </w:r>
    </w:p>
    <w:p>
      <w:pPr>
        <w:spacing w:after="240"/>
      </w:pPr>
      <w:r>
        <w:rPr>
          <w:rFonts w:ascii="Arial" w:cs="Arial" w:eastAsia="Arial" w:hAnsi="Arial"/>
          <w:b/>
          <w:bCs/>
          <w:color w:val="003540"/>
          <w:sz w:val="32"/>
          <w:szCs w:val="32"/>
        </w:rPr>
        <w:t xml:space="preserve">Table of Contents</w:t>
      </w:r>
    </w:p>
    <w:sdt>
      <w:sdtPr>
        <w:alias w:val="Table of Contents"/>
      </w:sdtPr>
      <w:sdtContent>
        <w:p>
          <w:r>
            <w:fldChar w:fldCharType="begin" w:dirty="true"/>
            <w:instrText xml:space="preserve">TOC \h \o "1-1"</w:instrText>
            <w:fldChar w:fldCharType="separate"/>
          </w:r>
        </w:p>
        <w:p>
          <w:r>
            <w:fldChar w:fldCharType="end"/>
          </w:r>
        </w:p>
      </w:sdtContent>
    </w:sdt>
    <w:p>
      <w:r>
        <w:br w:type="page"/>
      </w:r>
    </w:p>
    <w:p>
      <w:pPr>
        <w:pStyle w:val="Heading1"/>
      </w:pPr>
      <w:r>
        <w:t xml:space="preserve">Executive Summary</w:t>
      </w:r>
    </w:p>
    <w:p>
      <w:pPr>
        <w:spacing w:after="200"/>
      </w:pPr>
      <w:r>
        <w:rPr>
          <w:b w:val="false"/>
          <w:bCs w:val="false"/>
        </w:rPr>
        <w:t xml:space="preserve">Bellwood &amp; Cole engaged this sprint to answer a specific question: can the firm free up at least 15 hours per week of senior accountant time currently lost to manual bookkeeping, so that time can be redirected toward higher-value advisory work with clients? The firm is well-positioned to make this shift — its ledger data is clean, its manual workload is concentrated in three highly repeatable tasks, and two staff accountants are already curious about AI tools — but it faces real constraints: a hard $1,500–$2,000/month tool budget, a strict SOC 2-or-equivalent requirement given healthcare and legal clients in its book, and a partner who is explicitly skeptical of AI accuracy on anything client-facing. This report assesses readiness, prioritizes use cases, and lays out a 90-day path to act on the opportunity within those constraints.</w:t>
      </w:r>
    </w:p>
    <w:p>
      <w:pPr>
        <w:spacing w:after="200"/>
      </w:pPr>
      <w:r>
        <w:rPr>
          <w:b/>
          <w:bCs/>
        </w:rPr>
        <w:t xml:space="preserve">Five headline findings emerged.</w:t>
      </w:r>
      <w:r>
        <w:rPr>
          <w:b w:val="false"/>
          <w:bCs w:val="false"/>
        </w:rPr>
        <w:t xml:space="preserve"> First, Bellwood &amp; Cole's own numbers show the 15-hour target is achievable but not guaranteed by automating transaction categorization alone — the firm's 34 hours/week of manual work (18 hrs categorization/reconciliation, 10 hrs data entry, 6 hrs reporting) maps to a realistic savings range of 11.9–17.8 hours/week, and clearing the low end of that range requires automating at least two of the three workflows, not just the obvious first candidate. Second, the firm's real constraint is organizational, not technical: readiness scores 4/5 on process and 3/5 on data, but only 2.5/5 on both people and governance — meaning the harder work here is winning permission and trust, not building or buying technology. Third, the root cause of stalled adoption isn't skill or appetite but the absence of a sanctioned starting point; staff have already self-limited their AI use to non-client-data tasks without being told to, which is evidence of sound judgment, not resistance. Fourth, the firm's $1,500–$2,000/month budget sits well below the $3,800–$7,750/month typical tech spend for a firm this size, meaning the tool shortlist must stay narrow — 2–3 focused tools, not a broad stack — and should be read as a starting point likely to expand once ROI is proven. Fifth, receipt and data-entry automation, while carrying the highest percentage time-savings potential, is currently gated by fragmented client document intake (Drive uploads, email, photos, mailed paper) and cannot be effectively automated until that fragmentation is addressed first.</w:t>
      </w:r>
    </w:p>
    <w:p>
      <w:pPr>
        <w:spacing w:after="200"/>
      </w:pPr>
      <w:r>
        <w:rPr>
          <w:b/>
          <w:bCs/>
        </w:rPr>
        <w:t xml:space="preserve">Five headline recommendations follow directly.</w:t>
      </w:r>
      <w:r>
        <w:rPr>
          <w:b w:val="false"/>
          <w:bCs w:val="false"/>
        </w:rPr>
        <w:t xml:space="preserve"> First, close the governance gap before touching any tool: ratify a one-page AI Data Handling Policy and require SOC 2 Type II attestation on file before any vendor connects to live client data — this alone converts governance readiness from a blocker to workable within days, at essentially no cost. Second, sequence trust-building first: pilot AI-assisted report drafting internally, with the skeptical partner placed explicitly in the reviewer seat rather than left as a bystander, so skepticism is resolved through direct evidence rather than argument. Third, launch transaction categorization second, once governance is in place — it remains the single largest recoverable time pool and should be piloted by the two willing staff accountants on a mixed sample of QBO and Xero files before scaling firm-wide. Fourth, complete a two-hour intake-channel audit before selecting a receipt-capture tool, since deploying OCR against today's fragmented intake would underperform expectations regardless of which vendor is chosen. Fifth, adopt the narrow, budget-fitted tool shortlist (Fathom for reporting, native QBO/Xero rules exhausted before Booke.ai for categorization, Hubdoc or Dext for receipts depending on the audit outcome), which totals roughly $450–$1,400/month — comfortably under the ceiling with headroom for growth.</w:t>
      </w:r>
    </w:p>
    <w:p>
      <w:pPr>
        <w:spacing w:after="200"/>
      </w:pPr>
      <w:r>
        <w:rPr>
          <w:b/>
          <w:bCs/>
        </w:rPr>
        <w:t xml:space="preserve">If Bellwood &amp; Cole executes this roadmap, the expected impact is concrete and measurable within 90 days.</w:t>
      </w:r>
      <w:r>
        <w:rPr>
          <w:b w:val="false"/>
          <w:bCs w:val="false"/>
        </w:rPr>
        <w:t xml:space="preserve"> The firm should exit the sprint window with a ratified governance policy, a skeptical partner who has personally validated AI outputs and signed off on scaling, a SOC 2-attested categorization tool live across the full bookkeeping team, and a receipt-automation workflow deployed or in final rollout — not projections, but documented hours-saved data close to the 12–18 hour range modeled in this report. Beyond the immediate time recovery, the larger prize is strategic: successfully redirecting senior staff time from transactional bookkeeping toward advisory services positions the firm ahead of a sector-wide shift already underway, as clients increasingly expect proactive guidance rather than static monthly statements, and as vendor-embedded AI in QBO and Xero continues to commoditize pure transactional bookkeeping. Acting now, deliberately and in the sequence recommended, gives Bellwood &amp; Cole a credible, low-risk path to that outcome without exceeding its budget or forcing a confrontation with the risk concerns that matter most to its client base.</w:t>
      </w:r>
    </w:p>
    <w:p>
      <w:pPr>
        <w:pStyle w:val="Heading1"/>
      </w:pPr>
      <w:r>
        <w:t xml:space="preserve">Research &amp; Market Context</w:t>
      </w:r>
    </w:p>
    <w:p>
      <w:pPr>
        <w:pStyle w:val="Heading3"/>
      </w:pPr>
      <w:r>
        <w:rPr>
          <w:b w:val="false"/>
          <w:bCs w:val="false"/>
        </w:rPr>
        <w:t xml:space="preserve">Industry and Market Context</w:t>
      </w:r>
    </w:p>
    <w:p>
      <w:pPr>
        <w:spacing w:after="200"/>
      </w:pPr>
      <w:r>
        <w:rPr>
          <w:b w:val="false"/>
          <w:bCs w:val="false"/>
        </w:rPr>
        <w:t xml:space="preserve">Bookkeeping and tax preparation is one of the professional services segments most exposed to near-term AI disruption, and also one of the best-positioned to benefit from it. The sector (NAICS 541211/541213) in the US comprises roughly 90,000 firms, the large majority of which — like Bellwood &amp; Cole — are small practices under 25 employees generating between $1M and $5M in revenue. Industry associations (AICPA, CPA.com) have flagged "generative AI and automation" as the top disruptive force for small and mid-sized accounting firms in each of the last three annual practice-trend surveys, ahead of talent shortage and fee compression, though the two are related: labor scarcity is precisely why automation is becoming urgent rather than optional.</w:t>
      </w:r>
    </w:p>
    <w:p>
      <w:pPr>
        <w:spacing w:after="200"/>
      </w:pPr>
      <w:r>
        <w:rPr>
          <w:b w:val="false"/>
          <w:bCs w:val="false"/>
        </w:rPr>
        <w:t xml:space="preserve">Three converging pressures are shaping the competitive environment for firms of Bellwood &amp; Cole's size:</w:t>
      </w:r>
    </w:p>
    <w:p>
      <w:pPr>
        <w:spacing w:after="200"/>
      </w:pPr>
      <w:r>
        <w:rPr>
          <w:b/>
          <w:bCs/>
        </w:rPr>
        <w:t xml:space="preserve">1. A structural talent shortage in bookkeeping/accounting.</w:t>
      </w:r>
      <w:r>
        <w:rPr>
          <w:b w:val="false"/>
          <w:bCs w:val="false"/>
        </w:rPr>
        <w:t xml:space="preserve"> The pipeline of new accounting graduates has declined roughly 30% over the past decade (AICPA trends reports), and experienced bookkeepers are increasingly expensive to hire and retain in metro markets like Denver. Firms cannot simply "hire their way" to capacity for growth — automation of transactional work is becoming the primary lever for scaling revenue per employee.</w:t>
      </w:r>
    </w:p>
    <w:p>
      <w:pPr>
        <w:spacing w:after="200"/>
      </w:pPr>
      <w:r>
        <w:rPr>
          <w:b/>
          <w:bCs/>
        </w:rPr>
        <w:t xml:space="preserve">2. Client expectations are shifting from compliance to advisory.</w:t>
      </w:r>
      <w:r>
        <w:rPr>
          <w:b w:val="false"/>
          <w:bCs w:val="false"/>
        </w:rPr>
        <w:t xml:space="preserve"> Small-business clients increasingly expect real-time visibility into their financials and proactive guidance (cash flow forecasting, tax planning, benchmarking) rather than a monthly report delivered three weeks after month-end. Firms that remain purely transactional — categorizing transactions and producing static statements — are the ones most likely to be commoditized or priced down by DIY tools (QBO's own AI categorization, Xero's bank rules, and consumer tools like Bench-style automated bookkeeping platforms).</w:t>
      </w:r>
    </w:p>
    <w:p>
      <w:pPr>
        <w:spacing w:after="200"/>
      </w:pPr>
      <w:r>
        <w:rPr>
          <w:b/>
          <w:bCs/>
        </w:rPr>
        <w:t xml:space="preserve">3. Vendor-embedded AI is advancing faster than firm-level adoption.</w:t>
      </w:r>
      <w:r>
        <w:rPr>
          <w:b w:val="false"/>
          <w:bCs w:val="false"/>
        </w:rPr>
        <w:t xml:space="preserve"> QuickBooks Online and Xero have both shipped substantial AI-driven categorization, anomaly detection, and "smart matching" features directly into their core platforms over the past 18–24 months. This is a double-edged dynamic for a firm like Bellwood &amp; Cole: some of the "quick win" automation clients might expect is now available for free or near-free inside tools they already pay for, meaning the roadmap should prioritize *layering* specialized tools on top of QBO/Xero rather than duplicating what the ledger already does.</w:t>
      </w:r>
    </w:p>
    <w:p>
      <w:pPr>
        <w:spacing w:after="200"/>
      </w:pPr>
      <w:r>
        <w:rPr>
          <w:b/>
          <w:bCs/>
        </w:rPr>
        <w:t xml:space="preserve">Assumption (industry benchmark):</w:t>
      </w:r>
      <w:r>
        <w:rPr>
          <w:b w:val="false"/>
          <w:bCs w:val="false"/>
        </w:rPr>
        <w:t xml:space="preserve"> Based on published practice-management benchmarking (CPA.com/Sleeter Group practice surveys), firms that have adopted receipt-capture and bank-feed automation tools typically report a </w:t>
      </w:r>
      <w:r>
        <w:rPr>
          <w:b/>
          <w:bCs/>
        </w:rPr>
        <w:t xml:space="preserve">25–40% reduction in time spent on transaction coding and reconciliation</w:t>
      </w:r>
      <w:r>
        <w:rPr>
          <w:b w:val="false"/>
          <w:bCs w:val="false"/>
        </w:rPr>
        <w:t xml:space="preserve"> within the first 6 months, and a </w:t>
      </w:r>
      <w:r>
        <w:rPr>
          <w:b/>
          <w:bCs/>
        </w:rPr>
        <w:t xml:space="preserve">50–70% reduction in manual data entry from receipts/invoices</w:t>
      </w:r>
      <w:r>
        <w:rPr>
          <w:b w:val="false"/>
          <w:bCs w:val="false"/>
        </w:rPr>
        <w:t xml:space="preserve"> once OCR-based capture tools are fully adopted. These ranges are used later in this report as the basis for time-savings projections against Bellwood &amp; Cole's current 18 hrs/week (reconciliation) and 10 hrs/week (data entry) baselines.</w:t>
      </w:r>
    </w:p>
    <w:p>
      <w:pPr>
        <w:pStyle w:val="Heading3"/>
      </w:pPr>
      <w:r>
        <w:rPr>
          <w:b w:val="false"/>
          <w:bCs w:val="false"/>
        </w:rPr>
        <w:t xml:space="preserve">Benchmarks and Typical Performance Ranges</w:t>
      </w:r>
    </w:p>
    <w:p>
      <w:pPr>
        <w:spacing w:after="200"/>
      </w:pPr>
      <w:r>
        <w:rPr>
          <w:b w:val="false"/>
          <w:bCs w:val="false"/>
        </w:rPr>
        <w:t xml:space="preserve">To size the opportunity realistically, it's useful to anchor Bellwood &amp; Cole's current-state numbers against sector benchmarks:</w:t>
      </w:r>
    </w:p>
    <w:p>
      <w:pPr>
        <w:spacing w:after="80"/>
        <w:ind w:left="360"/>
      </w:pPr>
      <w:r>
        <w:rPr>
          <w:b w:val="false"/>
          <w:bCs w:val="false"/>
        </w:rPr>
        <w:t xml:space="preserve">•  </w:t>
      </w:r>
      <w:r>
        <w:rPr>
          <w:b/>
          <w:bCs/>
        </w:rPr>
        <w:t xml:space="preserve">Labor allocation:</w:t>
      </w:r>
      <w:r>
        <w:rPr>
          <w:b w:val="false"/>
          <w:bCs w:val="false"/>
        </w:rPr>
        <w:t xml:space="preserve"> Industry benchmarking data (National Society of Accountants, CPA.com) suggests that in firms without automation, staff bookkeepers/accountants typically spend </w:t>
      </w:r>
      <w:r>
        <w:rPr>
          <w:b/>
          <w:bCs/>
        </w:rPr>
        <w:t xml:space="preserve">60–70% of their time on transactional work</w:t>
      </w:r>
      <w:r>
        <w:rPr>
          <w:b w:val="false"/>
          <w:bCs w:val="false"/>
        </w:rPr>
        <w:t xml:space="preserve"> (categorization, reconciliation, data entry) and only </w:t>
      </w:r>
      <w:r>
        <w:rPr>
          <w:b/>
          <w:bCs/>
        </w:rPr>
        <w:t xml:space="preserve">10–15% on advisory or higher-value client interaction</w:t>
      </w:r>
      <w:r>
        <w:rPr>
          <w:b w:val="false"/>
          <w:bCs w:val="false"/>
        </w:rPr>
        <w:t xml:space="preserve">. Bellwood &amp; Cole's reported 34 hours/week of manual work across categorization, data entry, and reporting — against a team of 14 bookkeepers — is consistent with this pattern, suggesting the firm is a fairly typical (not unusually inefficient) practice for its size.</w:t>
      </w:r>
    </w:p>
    <w:p>
      <w:pPr>
        <w:spacing w:after="80"/>
        <w:ind w:left="360"/>
      </w:pPr>
      <w:r>
        <w:rPr>
          <w:b w:val="false"/>
          <w:bCs w:val="false"/>
        </w:rPr>
        <w:t xml:space="preserve">•  </w:t>
      </w:r>
      <w:r>
        <w:rPr>
          <w:b/>
          <w:bCs/>
        </w:rPr>
        <w:t xml:space="preserve">Automation-driven capacity gains:</w:t>
      </w:r>
      <w:r>
        <w:rPr>
          <w:b w:val="false"/>
          <w:bCs w:val="false"/>
        </w:rPr>
        <w:t xml:space="preserve"> Firms that have implemented bank-feed automation plus AI-assisted categorization commonly report the ability to </w:t>
      </w:r>
      <w:r>
        <w:rPr>
          <w:b/>
          <w:bCs/>
        </w:rPr>
        <w:t xml:space="preserve">reallocate 10–20 hours/week per 10-15 FTE bookkeeping team</w:t>
      </w:r>
      <w:r>
        <w:rPr>
          <w:b w:val="false"/>
          <w:bCs w:val="false"/>
        </w:rPr>
        <w:t xml:space="preserve"> toward advisory work — a range that directly brackets Bellwood &amp; Cole's stated goal of freeing 15 hours/week. This suggests the objective is ambitious but realistic, provided automation is targeted at the highest-volume manual tasks first (reconciliation, then data entry).</w:t>
      </w:r>
    </w:p>
    <w:p>
      <w:pPr>
        <w:spacing w:after="80"/>
        <w:ind w:left="360"/>
      </w:pPr>
      <w:r>
        <w:rPr>
          <w:b w:val="false"/>
          <w:bCs w:val="false"/>
        </w:rPr>
        <w:t xml:space="preserve">•  </w:t>
      </w:r>
      <w:r>
        <w:rPr>
          <w:b/>
          <w:bCs/>
        </w:rPr>
        <w:t xml:space="preserve">Client reporting cycle time:</w:t>
      </w:r>
      <w:r>
        <w:rPr>
          <w:b w:val="false"/>
          <w:bCs w:val="false"/>
        </w:rPr>
        <w:t xml:space="preserve"> Manual monthly close-and-report cycles in comparable firms typically take </w:t>
      </w:r>
      <w:r>
        <w:rPr>
          <w:b/>
          <w:bCs/>
        </w:rPr>
        <w:t xml:space="preserve">5–10 business days</w:t>
      </w:r>
      <w:r>
        <w:rPr>
          <w:b w:val="false"/>
          <w:bCs w:val="false"/>
        </w:rPr>
        <w:t xml:space="preserve"> post month-end; firms using AI-assisted draft reporting tools (e.g., auto-generated commentary layered on QBO/Xero reports) commonly compress this to </w:t>
      </w:r>
      <w:r>
        <w:rPr>
          <w:b/>
          <w:bCs/>
        </w:rPr>
        <w:t xml:space="preserve">2–4 days</w:t>
      </w:r>
      <w:r>
        <w:rPr>
          <w:b w:val="false"/>
          <w:bCs w:val="false"/>
        </w:rPr>
        <w:t xml:space="preserve">, freeing account managers for client-facing review rather than report assembly.</w:t>
      </w:r>
    </w:p>
    <w:p>
      <w:pPr>
        <w:spacing w:after="80"/>
        <w:ind w:left="360"/>
      </w:pPr>
      <w:r>
        <w:rPr>
          <w:b w:val="false"/>
          <w:bCs w:val="false"/>
        </w:rPr>
        <w:t xml:space="preserve">•  </w:t>
      </w:r>
      <w:r>
        <w:rPr>
          <w:b/>
          <w:bCs/>
        </w:rPr>
        <w:t xml:space="preserve">Tool spend as % of revenue:</w:t>
      </w:r>
      <w:r>
        <w:rPr>
          <w:b w:val="false"/>
          <w:bCs w:val="false"/>
        </w:rPr>
        <w:t xml:space="preserve"> Small accounting firms typically spend </w:t>
      </w:r>
      <w:r>
        <w:rPr>
          <w:b/>
          <w:bCs/>
        </w:rPr>
        <w:t xml:space="preserve">1.5–3% of revenue on technology/software stack</w:t>
      </w:r>
      <w:r>
        <w:rPr>
          <w:b w:val="false"/>
          <w:bCs w:val="false"/>
        </w:rPr>
        <w:t xml:space="preserve">, excluding one-time implementation. At $3.1M revenue, this implies a benchmark range of </w:t>
      </w:r>
      <w:r>
        <w:rPr>
          <w:b/>
          <w:bCs/>
        </w:rPr>
        <w:t xml:space="preserve">$46,000–$93,000/year</w:t>
      </w:r>
      <w:r>
        <w:rPr>
          <w:b w:val="false"/>
          <w:bCs w:val="false"/>
        </w:rPr>
        <w:t xml:space="preserve">, or roughly $3,800–$7,750/month — meaningfully above Bellwood &amp; Cole's stated $1,500–$2,000/month budget ceiling. *(Labeled assumption: derived from general SMB professional-services tech-spend benchmarks, not accounting-specific primary data.)* This gap matters directly for the tool shortlist: it suggests prioritizing 2–3 focused tools rather than a broader stack, and treating the current budget as a starting point likely to expand once ROI is demonstrated.</w:t>
      </w:r>
    </w:p>
    <w:p>
      <w:pPr>
        <w:pStyle w:val="Heading3"/>
      </w:pPr>
      <w:r>
        <w:rPr>
          <w:b w:val="false"/>
          <w:bCs w:val="false"/>
        </w:rPr>
        <w:t xml:space="preserve">Comparable Practices from Leading Firms</w:t>
      </w:r>
    </w:p>
    <w:p>
      <w:pPr>
        <w:spacing w:after="200"/>
      </w:pPr>
      <w:r>
        <w:rPr>
          <w:b w:val="false"/>
          <w:bCs w:val="false"/>
        </w:rPr>
        <w:t xml:space="preserve">Forward-leaning bookkeeping and accounting firms of similar scale (typically 15–50 employees, $2M–$10M revenue) that have successfully navigated this transition tend to follow a consistent pattern, useful as a reference model for Bellwood &amp; Cole:</w:t>
      </w:r>
    </w:p>
    <w:p>
      <w:pPr>
        <w:spacing w:after="80"/>
        <w:ind w:left="360"/>
      </w:pPr>
      <w:r>
        <w:rPr>
          <w:b w:val="false"/>
          <w:bCs w:val="false"/>
        </w:rPr>
        <w:t xml:space="preserve">•  </w:t>
      </w:r>
      <w:r>
        <w:rPr>
          <w:b/>
          <w:bCs/>
        </w:rPr>
        <w:t xml:space="preserve">Tiered automation adoption</w:t>
      </w:r>
      <w:r>
        <w:rPr>
          <w:b w:val="false"/>
          <w:bCs w:val="false"/>
        </w:rPr>
        <w:t xml:space="preserve">, starting with document/receipt capture (highest friction, lowest risk) before moving to transaction categorization (higher data sensitivity, requires more review), and only later to client-facing reporting automation (requires the most trust-building, especially with skeptical partners or high-sensitivity clients).</w:t>
      </w:r>
    </w:p>
    <w:p>
      <w:pPr>
        <w:spacing w:after="80"/>
        <w:ind w:left="360"/>
      </w:pPr>
      <w:r>
        <w:rPr>
          <w:b w:val="false"/>
          <w:bCs w:val="false"/>
        </w:rPr>
        <w:t xml:space="preserve">•  </w:t>
      </w:r>
      <w:r>
        <w:rPr>
          <w:b/>
          <w:bCs/>
        </w:rPr>
        <w:t xml:space="preserve">"Human-in-the-loop" governance</w:t>
      </w:r>
      <w:r>
        <w:rPr>
          <w:b w:val="false"/>
          <w:bCs w:val="false"/>
        </w:rPr>
        <w:t xml:space="preserve">, where AI drafts categorizations, reconciliations, or report narratives, but a staff accountant or account manager reviews and approves before anything reaches the client. This is the dominant pattern among firms serving regulated or high-sensitivity clients (healthcare, legal), directly relevant to Bellwood &amp; Cole's client base.</w:t>
      </w:r>
    </w:p>
    <w:p>
      <w:pPr>
        <w:spacing w:after="80"/>
        <w:ind w:left="360"/>
      </w:pPr>
      <w:r>
        <w:rPr>
          <w:b w:val="false"/>
          <w:bCs w:val="false"/>
        </w:rPr>
        <w:t xml:space="preserve">•  </w:t>
      </w:r>
      <w:r>
        <w:rPr>
          <w:b/>
          <w:bCs/>
        </w:rPr>
        <w:t xml:space="preserve">Vendor consolidation around the ledger platform.</w:t>
      </w:r>
      <w:r>
        <w:rPr>
          <w:b w:val="false"/>
          <w:bCs w:val="false"/>
        </w:rPr>
        <w:t xml:space="preserve"> Leading firms standardize their AI/automation tools around whichever ledger dominates their book of business (in Bellwood &amp; Cole's case, QBO at ~85%) and treat secondary platforms (Xero, ~15%) as a managed exception rather than building parallel tooling for both.</w:t>
      </w:r>
    </w:p>
    <w:p>
      <w:pPr>
        <w:spacing w:after="80"/>
        <w:ind w:left="360"/>
      </w:pPr>
      <w:r>
        <w:rPr>
          <w:b w:val="false"/>
          <w:bCs w:val="false"/>
        </w:rPr>
        <w:t xml:space="preserve">•  </w:t>
      </w:r>
      <w:r>
        <w:rPr>
          <w:b/>
          <w:bCs/>
        </w:rPr>
        <w:t xml:space="preserve">SOC 2 due diligence as a procurement gate, not an afterthought.</w:t>
      </w:r>
      <w:r>
        <w:rPr>
          <w:b w:val="false"/>
          <w:bCs w:val="false"/>
        </w:rPr>
        <w:t xml:space="preserve"> Firms handling healthcare- or legal-adjacent client data increasingly require SOC 2 Type II (or equivalent) attestation from any tool touching client financial data as a baseline procurement requirement — consistent with Bellwood &amp; Cole's stated constraint — and treat this as non-negotiable even when it narrows the tool shortlist to established, enterprise-oriented vendors over cheaper point solutions.</w:t>
      </w:r>
    </w:p>
    <w:p>
      <w:pPr>
        <w:spacing w:after="80"/>
        <w:ind w:left="360"/>
      </w:pPr>
      <w:r>
        <w:rPr>
          <w:b w:val="false"/>
          <w:bCs w:val="false"/>
        </w:rPr>
        <w:t xml:space="preserve">•  </w:t>
      </w:r>
      <w:r>
        <w:rPr>
          <w:b/>
          <w:bCs/>
        </w:rPr>
        <w:t xml:space="preserve">Pilot-then-scale rollout</w:t>
      </w:r>
      <w:r>
        <w:rPr>
          <w:b w:val="false"/>
          <w:bCs w:val="false"/>
        </w:rPr>
        <w:t xml:space="preserve">, typically starting with one or two "champion" staff (mirroring Bellwood &amp; Cole's two curious staff accountants) on a limited client segment before firm-wide rollout — reducing risk of the skeptical-partner scenario derailing adoption.</w:t>
      </w:r>
    </w:p>
    <w:p>
      <w:pPr>
        <w:pStyle w:val="Heading3"/>
      </w:pPr>
      <w:r>
        <w:rPr>
          <w:b w:val="false"/>
          <w:bCs w:val="false"/>
        </w:rPr>
        <w:t xml:space="preserve">Frameworks Anchoring This Analysis</w:t>
      </w:r>
    </w:p>
    <w:p>
      <w:pPr>
        <w:spacing w:after="200"/>
      </w:pPr>
      <w:r>
        <w:rPr>
          <w:b w:val="false"/>
          <w:bCs w:val="false"/>
        </w:rPr>
        <w:t xml:space="preserve">This engagement will draw on three complementary frameworks to structure the readiness assessment, use-case prioritization, and roadmap:</w:t>
      </w:r>
    </w:p>
    <w:p>
      <w:pPr>
        <w:spacing w:after="80"/>
        <w:ind w:left="360"/>
      </w:pPr>
      <w:r>
        <w:rPr>
          <w:b w:val="false"/>
          <w:bCs w:val="false"/>
        </w:rPr>
        <w:t xml:space="preserve">•  </w:t>
      </w:r>
      <w:r>
        <w:rPr>
          <w:b/>
          <w:bCs/>
        </w:rPr>
        <w:t xml:space="preserve">AI Readiness Framework (four dimensions):</w:t>
      </w:r>
      <w:r>
        <w:rPr>
          <w:b w:val="false"/>
          <w:bCs w:val="false"/>
        </w:rPr>
        <w:t xml:space="preserve"> Data readiness (structured vs. unstructured sources), Process readiness (task volume, repeatability, rules-based vs. judgment-based), People readiness (skills, appetite, resistance points), and Governance/Risk readiness (compliance posture, data handling, client sensitivity) — used to score Bellwood &amp; Cole's current state in the next section.</w:t>
      </w:r>
    </w:p>
    <w:p>
      <w:pPr>
        <w:spacing w:after="80"/>
        <w:ind w:left="360"/>
      </w:pPr>
      <w:r>
        <w:rPr>
          <w:b w:val="false"/>
          <w:bCs w:val="false"/>
        </w:rPr>
        <w:t xml:space="preserve">•  </w:t>
      </w:r>
      <w:r>
        <w:rPr>
          <w:b/>
          <w:bCs/>
        </w:rPr>
        <w:t xml:space="preserve">Impact/Effort Prioritization Matrix</w:t>
      </w:r>
      <w:r>
        <w:rPr>
          <w:b w:val="false"/>
          <w:bCs w:val="false"/>
        </w:rPr>
        <w:t xml:space="preserve">, used to rank the three candidate use cases (transaction categorization, receipt/data-entry automation, report generation) against effort to implement and expected time/quality impact, informed by the benchmark ranges above.</w:t>
      </w:r>
    </w:p>
    <w:p>
      <w:pPr>
        <w:spacing w:after="80"/>
        <w:ind w:left="360"/>
      </w:pPr>
      <w:r>
        <w:rPr>
          <w:b w:val="false"/>
          <w:bCs w:val="false"/>
        </w:rPr>
        <w:t xml:space="preserve">•  </w:t>
      </w:r>
      <w:r>
        <w:rPr>
          <w:b/>
          <w:bCs/>
        </w:rPr>
        <w:t xml:space="preserve">Crawl-Walk-Run Adoption Model</w:t>
      </w:r>
      <w:r>
        <w:rPr>
          <w:b w:val="false"/>
          <w:bCs w:val="false"/>
        </w:rPr>
        <w:t xml:space="preserve">, a phased maturity approach (pilot with champions → controlled team rollout → firm-wide standard practice) that aligns with the 90-day roadmap format and accounts explicitly for the partner-level skepticism and mixed technical comfort identified in the intake.</w:t>
      </w:r>
    </w:p>
    <w:p>
      <w:pPr>
        <w:pStyle w:val="Heading1"/>
      </w:pPr>
      <w:r>
        <w:t xml:space="preserve">Findings &amp; Analysis</w:t>
      </w:r>
    </w:p>
    <w:p>
      <w:pPr>
        <w:pStyle w:val="Heading3"/>
      </w:pPr>
      <w:r>
        <w:rPr>
          <w:b w:val="false"/>
          <w:bCs w:val="false"/>
        </w:rPr>
        <w:t xml:space="preserve">Findings &amp; Analysis</w:t>
      </w:r>
    </w:p>
    <w:p>
      <w:pPr>
        <w:pStyle w:val="Heading3"/>
      </w:pPr>
      <w:r>
        <w:rPr>
          <w:b w:val="false"/>
          <w:bCs w:val="false"/>
        </w:rPr>
        <w:t xml:space="preserve">AI Readiness Assessment: Scoring Bellwood &amp; Cole Against the Four Dimensions</w:t>
      </w:r>
    </w:p>
    <w:p>
      <w:pPr>
        <w:spacing w:after="200"/>
      </w:pPr>
      <w:r>
        <w:rPr>
          <w:b w:val="false"/>
          <w:bCs w:val="false"/>
        </w:rPr>
        <w:t xml:space="preserve">Applying the readiness framework to the intake data produces a clear, uneven profile — strong in data and process readiness, mixed in people readiness, and currently underdeveloped in governance readiness (not because the firm is careless, but because it has never had to formalize what its vendors already handle).</w:t>
      </w:r>
    </w:p>
    <w:tbl>
      <w:tblPr>
        <w:tblW w:type="pct" w:w="100%"/>
        <w:tblBorders>
          <w:top w:val="single" w:color="auto" w:sz="4"/>
          <w:left w:val="single" w:color="auto" w:sz="4"/>
          <w:bottom w:val="single" w:color="auto" w:sz="4"/>
          <w:right w:val="single" w:color="auto" w:sz="4"/>
          <w:insideH w:val="single" w:color="auto" w:sz="4"/>
          <w:insideV w:val="single" w:color="auto" w:sz="4"/>
        </w:tblBorders>
      </w:tblPr>
      <w:tblGrid>
        <w:gridCol w:w="100"/>
        <w:gridCol w:w="100"/>
        <w:gridCol w:w="100"/>
        <w:gridCol w:w="100"/>
      </w:tblGrid>
      <w:tr>
        <w:tc>
          <w:p>
            <w:r>
              <w:rPr>
                <w:b/>
                <w:bCs/>
              </w:rPr>
              <w:t xml:space="preserve">Dimension</w:t>
            </w:r>
          </w:p>
        </w:tc>
        <w:tc>
          <w:p>
            <w:r>
              <w:rPr>
                <w:b/>
                <w:bCs/>
              </w:rPr>
              <w:t xml:space="preserve">Current State (from intake)</w:t>
            </w:r>
          </w:p>
        </w:tc>
        <w:tc>
          <w:p>
            <w:r>
              <w:rPr>
                <w:b/>
                <w:bCs/>
              </w:rPr>
              <w:t xml:space="preserve">Score (1–5)</w:t>
            </w:r>
          </w:p>
        </w:tc>
        <w:tc>
          <w:p>
            <w:r>
              <w:rPr>
                <w:b/>
                <w:bCs/>
              </w:rPr>
              <w:t xml:space="preserve">Key Gap</w:t>
            </w:r>
          </w:p>
        </w:tc>
      </w:tr>
      <w:tr>
        <w:tc>
          <w:p>
            <w:r>
              <w:rPr>
                <w:b w:val="false"/>
                <w:bCs w:val="false"/>
              </w:rPr>
              <w:t xml:space="preserve">Data readiness</w:t>
            </w:r>
          </w:p>
        </w:tc>
        <w:tc>
          <w:p>
            <w:r>
              <w:rPr>
                <w:b w:val="false"/>
                <w:bCs w:val="false"/>
              </w:rPr>
              <w:t xml:space="preserve">Ledger data "clean, structured" in QBO/Xero; receipts are fragmented across Drive uploads, email PDFs/photos, and paper mail</w:t>
            </w:r>
          </w:p>
        </w:tc>
        <w:tc>
          <w:p>
            <w:r>
              <w:rPr>
                <w:b w:val="false"/>
                <w:bCs w:val="false"/>
              </w:rPr>
              <w:t xml:space="preserve">3/5</w:t>
            </w:r>
          </w:p>
        </w:tc>
        <w:tc>
          <w:p>
            <w:r>
              <w:rPr>
                <w:b w:val="false"/>
                <w:bCs w:val="false"/>
              </w:rPr>
              <w:t xml:space="preserve">Source-document intake is the weak link, not the ledger</w:t>
            </w:r>
          </w:p>
        </w:tc>
      </w:tr>
      <w:tr>
        <w:tc>
          <w:p>
            <w:r>
              <w:rPr>
                <w:b w:val="false"/>
                <w:bCs w:val="false"/>
              </w:rPr>
              <w:t xml:space="preserve">Process readiness</w:t>
            </w:r>
          </w:p>
        </w:tc>
        <w:tc>
          <w:p>
            <w:r>
              <w:rPr>
                <w:b w:val="false"/>
                <w:bCs w:val="false"/>
              </w:rPr>
              <w:t xml:space="preserve">34 hrs/week across 3 highly repeatable, rules-based tasks (categorization, data entry, reporting)</w:t>
            </w:r>
          </w:p>
        </w:tc>
        <w:tc>
          <w:p>
            <w:r>
              <w:rPr>
                <w:b w:val="false"/>
                <w:bCs w:val="false"/>
              </w:rPr>
              <w:t xml:space="preserve">4/5</w:t>
            </w:r>
          </w:p>
        </w:tc>
        <w:tc>
          <w:p>
            <w:r>
              <w:rPr>
                <w:b w:val="false"/>
                <w:bCs w:val="false"/>
              </w:rPr>
              <w:t xml:space="preserve">High volume, high repeatability — ideal automation candidates</w:t>
            </w:r>
          </w:p>
        </w:tc>
      </w:tr>
      <w:tr>
        <w:tc>
          <w:p>
            <w:r>
              <w:rPr>
                <w:b w:val="false"/>
                <w:bCs w:val="false"/>
              </w:rPr>
              <w:t xml:space="preserve">People readiness</w:t>
            </w:r>
          </w:p>
        </w:tc>
        <w:tc>
          <w:p>
            <w:r>
              <w:rPr>
                <w:b w:val="false"/>
                <w:bCs w:val="false"/>
              </w:rPr>
              <w:t xml:space="preserve">2 of 14 staff accountants are "naturally curious," ~1/3 comfortable-but-passive, 1 partner explicitly skeptical</w:t>
            </w:r>
          </w:p>
        </w:tc>
        <w:tc>
          <w:p>
            <w:r>
              <w:rPr>
                <w:b w:val="false"/>
                <w:bCs w:val="false"/>
              </w:rPr>
              <w:t xml:space="preserve">2.5/5</w:t>
            </w:r>
          </w:p>
        </w:tc>
        <w:tc>
          <w:p>
            <w:r>
              <w:rPr>
                <w:b w:val="false"/>
                <w:bCs w:val="false"/>
              </w:rPr>
              <w:t xml:space="preserve">No champions above staff level; skeptical partner has veto power over client-facing rollout</w:t>
            </w:r>
          </w:p>
        </w:tc>
      </w:tr>
      <w:tr>
        <w:tc>
          <w:p>
            <w:r>
              <w:rPr>
                <w:b w:val="false"/>
                <w:bCs w:val="false"/>
              </w:rPr>
              <w:t xml:space="preserve">Governance/Risk readiness</w:t>
            </w:r>
          </w:p>
        </w:tc>
        <w:tc>
          <w:p>
            <w:r>
              <w:rPr>
                <w:b w:val="false"/>
                <w:bCs w:val="false"/>
              </w:rPr>
              <w:t xml:space="preserve">Not SOC 2 certified themselves; underlying systems (QBO, Gusto) are; healthcare/legal clients raise sensitivity bar</w:t>
            </w:r>
          </w:p>
        </w:tc>
        <w:tc>
          <w:p>
            <w:r>
              <w:rPr>
                <w:b w:val="false"/>
                <w:bCs w:val="false"/>
              </w:rPr>
              <w:t xml:space="preserve">2.5/5</w:t>
            </w:r>
          </w:p>
        </w:tc>
        <w:tc>
          <w:p>
            <w:r>
              <w:rPr>
                <w:b w:val="false"/>
                <w:bCs w:val="false"/>
              </w:rPr>
              <w:t xml:space="preserve">No formal AI data-handling policy exists yet; procurement will need to close this gap tool-by-tool</w:t>
            </w:r>
          </w:p>
        </w:tc>
      </w:tr>
    </w:tbl>
    <w:p>
      <w:pPr>
        <w:spacing w:after="120"/>
      </w:pPr>
    </w:p>
    <w:p>
      <w:pPr>
        <w:spacing w:after="200"/>
      </w:pPr>
      <w:r>
        <w:rPr>
          <w:b/>
          <w:bCs/>
        </w:rPr>
        <w:t xml:space="preserve">Reasoning:</w:t>
      </w:r>
      <w:r>
        <w:rPr>
          <w:b w:val="false"/>
          <w:bCs w:val="false"/>
        </w:rPr>
        <w:t xml:space="preserve"> The firm scores well on the two dimensions that determine *whether automation is technically viable* (data and process) and weaker on the two dimensions that determine *whether adoption actually happens and holds up to scrutiny* (people and governance). This is a common and fixable pattern — it means the roadmap's hardest work is organizational and procedural, not technical. It also means a tool that is technically excellent but fails the governance test (no SOC 2/equivalent attestation) is worse than useless here: given that several clients are in healthcare and legal services, a data-handling misstep isn't a minor risk, it's an existential one for a 22-person firm whose entire value proposition rests on trust.</w:t>
      </w:r>
    </w:p>
    <w:p>
      <w:pPr>
        <w:pStyle w:val="Heading3"/>
      </w:pPr>
      <w:r>
        <w:rPr>
          <w:b w:val="false"/>
          <w:bCs w:val="false"/>
        </w:rPr>
        <w:t xml:space="preserve">Quantifying the Time Gap Against the Stated Objective</w:t>
      </w:r>
    </w:p>
    <w:p>
      <w:pPr>
        <w:spacing w:after="200"/>
      </w:pPr>
      <w:r>
        <w:rPr>
          <w:b w:val="false"/>
          <w:bCs w:val="false"/>
        </w:rPr>
        <w:t xml:space="preserve">Bellwood &amp; Cole's objective is explicit and measurable: free up </w:t>
      </w:r>
      <w:r>
        <w:rPr>
          <w:b/>
          <w:bCs/>
        </w:rPr>
        <w:t xml:space="preserve">at least 15 hours/week</w:t>
      </w:r>
      <w:r>
        <w:rPr>
          <w:b w:val="false"/>
          <w:bCs w:val="false"/>
        </w:rPr>
        <w:t xml:space="preserve"> of senior accountant time from manual bookkeeping so it can be redirected to advisory work. The intake also gives an unusually precise baseline to work from:</w:t>
      </w:r>
    </w:p>
    <w:p>
      <w:pPr>
        <w:spacing w:after="80"/>
        <w:ind w:left="360"/>
      </w:pPr>
      <w:r>
        <w:rPr>
          <w:b w:val="false"/>
          <w:bCs w:val="false"/>
        </w:rPr>
        <w:t xml:space="preserve">•  </w:t>
      </w:r>
      <w:r>
        <w:rPr>
          <w:b w:val="false"/>
          <w:bCs w:val="false"/>
        </w:rPr>
        <w:t xml:space="preserve">Bank transaction categorization/reconciliation: </w:t>
      </w:r>
      <w:r>
        <w:rPr>
          <w:b/>
          <w:bCs/>
        </w:rPr>
        <w:t xml:space="preserve">18 hrs/week</w:t>
      </w:r>
    </w:p>
    <w:p>
      <w:pPr>
        <w:spacing w:after="80"/>
        <w:ind w:left="360"/>
      </w:pPr>
      <w:r>
        <w:rPr>
          <w:b w:val="false"/>
          <w:bCs w:val="false"/>
        </w:rPr>
        <w:t xml:space="preserve">•  </w:t>
      </w:r>
      <w:r>
        <w:rPr>
          <w:b w:val="false"/>
          <w:bCs w:val="false"/>
        </w:rPr>
        <w:t xml:space="preserve">Manual data entry from receipts/invoices: </w:t>
      </w:r>
      <w:r>
        <w:rPr>
          <w:b/>
          <w:bCs/>
        </w:rPr>
        <w:t xml:space="preserve">10 hrs/week</w:t>
      </w:r>
    </w:p>
    <w:p>
      <w:pPr>
        <w:spacing w:after="80"/>
        <w:ind w:left="360"/>
      </w:pPr>
      <w:r>
        <w:rPr>
          <w:b w:val="false"/>
          <w:bCs w:val="false"/>
        </w:rPr>
        <w:t xml:space="preserve">•  </w:t>
      </w:r>
      <w:r>
        <w:rPr>
          <w:b w:val="false"/>
          <w:bCs w:val="false"/>
        </w:rPr>
        <w:t xml:space="preserve">Client financial report generation/formatting: </w:t>
      </w:r>
      <w:r>
        <w:rPr>
          <w:b/>
          <w:bCs/>
        </w:rPr>
        <w:t xml:space="preserve">6 hrs/week</w:t>
      </w:r>
    </w:p>
    <w:p>
      <w:pPr>
        <w:spacing w:after="80"/>
        <w:ind w:left="360"/>
      </w:pPr>
      <w:r>
        <w:rPr>
          <w:b w:val="false"/>
          <w:bCs w:val="false"/>
        </w:rPr>
        <w:t xml:space="preserve">•  </w:t>
      </w:r>
      <w:r>
        <w:rPr>
          <w:b/>
          <w:bCs/>
        </w:rPr>
        <w:t xml:space="preserve">Total manual, automatable workload: 34 hrs/week</w:t>
      </w:r>
    </w:p>
    <w:p>
      <w:pPr>
        <w:spacing w:after="200"/>
      </w:pPr>
      <w:r>
        <w:rPr>
          <w:b w:val="false"/>
          <w:bCs w:val="false"/>
        </w:rPr>
        <w:t xml:space="preserve">Applying the benchmark ranges established in the research section — 25–40% reduction in categorization/reconciliation time, 50–70% reduction in receipt/data-entry time — to Bellwood &amp; Cole's own numbers produces the following projection:</w:t>
      </w:r>
    </w:p>
    <w:tbl>
      <w:tblPr>
        <w:tblW w:type="pct" w:w="100%"/>
        <w:tblBorders>
          <w:top w:val="single" w:color="auto" w:sz="4"/>
          <w:left w:val="single" w:color="auto" w:sz="4"/>
          <w:bottom w:val="single" w:color="auto" w:sz="4"/>
          <w:right w:val="single" w:color="auto" w:sz="4"/>
          <w:insideH w:val="single" w:color="auto" w:sz="4"/>
          <w:insideV w:val="single" w:color="auto" w:sz="4"/>
        </w:tblBorders>
      </w:tblPr>
      <w:tblGrid>
        <w:gridCol w:w="100"/>
        <w:gridCol w:w="100"/>
        <w:gridCol w:w="100"/>
        <w:gridCol w:w="100"/>
      </w:tblGrid>
      <w:tr>
        <w:tc>
          <w:p>
            <w:r>
              <w:rPr>
                <w:b/>
                <w:bCs/>
              </w:rPr>
              <w:t xml:space="preserve">Task</w:t>
            </w:r>
          </w:p>
        </w:tc>
        <w:tc>
          <w:p>
            <w:r>
              <w:rPr>
                <w:b/>
                <w:bCs/>
              </w:rPr>
              <w:t xml:space="preserve">Current hrs/week</w:t>
            </w:r>
          </w:p>
        </w:tc>
        <w:tc>
          <w:p>
            <w:r>
              <w:rPr>
                <w:b/>
                <w:bCs/>
              </w:rPr>
              <w:t xml:space="preserve">Benchmark reduction range</w:t>
            </w:r>
          </w:p>
        </w:tc>
        <w:tc>
          <w:p>
            <w:r>
              <w:rPr>
                <w:b/>
                <w:bCs/>
              </w:rPr>
              <w:t xml:space="preserve">Projected hrs saved/week</w:t>
            </w:r>
          </w:p>
        </w:tc>
      </w:tr>
      <w:tr>
        <w:tc>
          <w:p>
            <w:r>
              <w:rPr>
                <w:b w:val="false"/>
                <w:bCs w:val="false"/>
              </w:rPr>
              <w:t xml:space="preserve">Transaction categorization &amp; reconciliation</w:t>
            </w:r>
          </w:p>
        </w:tc>
        <w:tc>
          <w:p>
            <w:r>
              <w:rPr>
                <w:b w:val="false"/>
                <w:bCs w:val="false"/>
              </w:rPr>
              <w:t xml:space="preserve">18</w:t>
            </w:r>
          </w:p>
        </w:tc>
        <w:tc>
          <w:p>
            <w:r>
              <w:rPr>
                <w:b w:val="false"/>
                <w:bCs w:val="false"/>
              </w:rPr>
              <w:t xml:space="preserve">25–40%</w:t>
            </w:r>
          </w:p>
        </w:tc>
        <w:tc>
          <w:p>
            <w:r>
              <w:rPr>
                <w:b w:val="false"/>
                <w:bCs w:val="false"/>
              </w:rPr>
              <w:t xml:space="preserve">4.5 – 7.2</w:t>
            </w:r>
          </w:p>
        </w:tc>
      </w:tr>
      <w:tr>
        <w:tc>
          <w:p>
            <w:r>
              <w:rPr>
                <w:b w:val="false"/>
                <w:bCs w:val="false"/>
              </w:rPr>
              <w:t xml:space="preserve">Receipt/invoice data entry</w:t>
            </w:r>
          </w:p>
        </w:tc>
        <w:tc>
          <w:p>
            <w:r>
              <w:rPr>
                <w:b w:val="false"/>
                <w:bCs w:val="false"/>
              </w:rPr>
              <w:t xml:space="preserve">10</w:t>
            </w:r>
          </w:p>
        </w:tc>
        <w:tc>
          <w:p>
            <w:r>
              <w:rPr>
                <w:b w:val="false"/>
                <w:bCs w:val="false"/>
              </w:rPr>
              <w:t xml:space="preserve">50–70%</w:t>
            </w:r>
          </w:p>
        </w:tc>
        <w:tc>
          <w:p>
            <w:r>
              <w:rPr>
                <w:b w:val="false"/>
                <w:bCs w:val="false"/>
              </w:rPr>
              <w:t xml:space="preserve">5.0 – 7.0</w:t>
            </w:r>
          </w:p>
        </w:tc>
      </w:tr>
      <w:tr>
        <w:tc>
          <w:p>
            <w:r>
              <w:rPr>
                <w:b w:val="false"/>
                <w:bCs w:val="false"/>
              </w:rPr>
              <w:t xml:space="preserve">Report generation &amp; formatting</w:t>
            </w:r>
          </w:p>
        </w:tc>
        <w:tc>
          <w:p>
            <w:r>
              <w:rPr>
                <w:b w:val="false"/>
                <w:bCs w:val="false"/>
              </w:rPr>
              <w:t xml:space="preserve">6</w:t>
            </w:r>
          </w:p>
        </w:tc>
        <w:tc>
          <w:p>
            <w:r>
              <w:rPr>
                <w:b w:val="false"/>
                <w:bCs w:val="false"/>
              </w:rPr>
              <w:t xml:space="preserve">~40–60% (draft-then-review pattern)</w:t>
            </w:r>
          </w:p>
        </w:tc>
        <w:tc>
          <w:p>
            <w:r>
              <w:rPr>
                <w:b w:val="false"/>
                <w:bCs w:val="false"/>
              </w:rPr>
              <w:t xml:space="preserve">2.4 – 3.6</w:t>
            </w:r>
          </w:p>
        </w:tc>
      </w:tr>
      <w:tr>
        <w:tc>
          <w:p>
            <w:r>
              <w:rPr>
                <w:b/>
                <w:bCs/>
              </w:rPr>
              <w:t xml:space="preserve">Total</w:t>
            </w:r>
          </w:p>
        </w:tc>
        <w:tc>
          <w:p>
            <w:r>
              <w:rPr>
                <w:b/>
                <w:bCs/>
              </w:rPr>
              <w:t xml:space="preserve">34</w:t>
            </w:r>
          </w:p>
        </w:tc>
        <w:tc>
          <w:p>
            <w:r>
              <w:rPr>
                <w:b w:val="false"/>
                <w:bCs w:val="false"/>
              </w:rPr>
              <w:t xml:space="preserve">—</w:t>
            </w:r>
          </w:p>
        </w:tc>
        <w:tc>
          <w:p>
            <w:r>
              <w:rPr>
                <w:b/>
                <w:bCs/>
              </w:rPr>
              <w:t xml:space="preserve">11.9 – 17.8</w:t>
            </w:r>
          </w:p>
        </w:tc>
      </w:tr>
    </w:tbl>
    <w:p>
      <w:pPr>
        <w:spacing w:after="120"/>
      </w:pPr>
    </w:p>
    <w:p>
      <w:pPr>
        <w:spacing w:after="200"/>
      </w:pPr>
      <w:r>
        <w:rPr>
          <w:b w:val="false"/>
          <w:bCs w:val="false"/>
        </w:rPr>
        <w:t xml:space="preserve">This matters because it tells us the 15-hour goal is </w:t>
      </w:r>
      <w:r>
        <w:rPr>
          <w:b/>
          <w:bCs/>
        </w:rPr>
        <w:t xml:space="preserve">achievable but not guaranteed by categorization automation alone.</w:t>
      </w:r>
      <w:r>
        <w:rPr>
          <w:b w:val="false"/>
          <w:bCs w:val="false"/>
        </w:rPr>
        <w:t xml:space="preserve"> The low end of the projected range (11.9 hrs) falls short of the stated objective; the high end (17.8 hrs) clears it. The gap between those scenarios is almost entirely explained by whether the firm tackles all three workflows or stops at the first "obvious" win (categorization). This directly informs prioritization logic below: </w:t>
      </w:r>
      <w:r>
        <w:rPr>
          <w:b/>
          <w:bCs/>
        </w:rPr>
        <w:t xml:space="preserve">Bellwood &amp; Cole cannot hit its own stated 15-hour target from transaction categorization alone</w:t>
      </w:r>
      <w:r>
        <w:rPr>
          <w:b w:val="false"/>
          <w:bCs w:val="false"/>
        </w:rPr>
        <w:t xml:space="preserve"> — it needs at least two of the three workflows automated, which changes the shape of the 90-day roadmap from "deploy one tool" to "sequence two to three workflows in a specific order."</w:t>
      </w:r>
    </w:p>
    <w:p>
      <w:pPr>
        <w:spacing w:after="200"/>
      </w:pPr>
      <w:r>
        <w:rPr>
          <w:b w:val="false"/>
          <w:bCs w:val="false"/>
        </w:rPr>
        <w:t xml:space="preserve">It's also worth noting the strategic framing embedded in the objective itself: the firm isn't asking to cut headcount or reduce hours worked — it's asking to reallocate senior time from transactional work to advisory work. That reframes every use case below in terms of *redeployment value*, not just time saved. Advisory work commands materially higher realization rates than compliance bookkeeping in comparable firms (a pattern echoed in the "shift to advisory" pressure noted in the research section), so the 15 hours/week target should be read as a revenue-mix lever, not merely an efficiency metric.</w:t>
      </w:r>
    </w:p>
    <w:p>
      <w:pPr>
        <w:pStyle w:val="Heading3"/>
      </w:pPr>
      <w:r>
        <w:rPr>
          <w:b w:val="false"/>
          <w:bCs w:val="false"/>
        </w:rPr>
        <w:t xml:space="preserve">Root Cause Analysis: Why 34 Hours/Week Is Currently Manual</w:t>
      </w:r>
    </w:p>
    <w:p>
      <w:pPr>
        <w:spacing w:after="200"/>
      </w:pPr>
      <w:r>
        <w:rPr>
          <w:b w:val="false"/>
          <w:bCs w:val="false"/>
        </w:rPr>
        <w:t xml:space="preserve">Three root causes explain why this workload hasn't already been automated, each with a different fix:</w:t>
      </w:r>
    </w:p>
    <w:p>
      <w:pPr>
        <w:spacing w:after="200"/>
      </w:pPr>
      <w:r>
        <w:rPr>
          <w:b/>
          <w:bCs/>
        </w:rPr>
        <w:t xml:space="preserve">1. Fragmented document intake, not ledger limitations.</w:t>
      </w:r>
      <w:r>
        <w:rPr>
          <w:b w:val="false"/>
          <w:bCs w:val="false"/>
        </w:rPr>
        <w:t xml:space="preserve"> The ledger data itself is "clean, structured," per the intake — QBO and Xero are not the bottleneck. The bottleneck is upstream: receipts arrive via shared Drive folders, direct email, photos, and physical mail, with no single ingestion point. This is a classic root cause of manual data entry: the 10 hrs/week isn't really "data entry effort," it's the cost of </w:t>
      </w:r>
      <w:r>
        <w:rPr>
          <w:b/>
          <w:bCs/>
        </w:rPr>
        <w:t xml:space="preserve">normalizing inconsistent intake channels</w:t>
      </w:r>
      <w:r>
        <w:rPr>
          <w:b w:val="false"/>
          <w:bCs w:val="false"/>
        </w:rPr>
        <w:t xml:space="preserve"> before any entry can happen. This means the highest-leverage fix isn't a smarter OCR tool — it's consolidating intake into fewer channels *plus* OCR, or the OCR tool will just be applied inconsistently across four different formats.</w:t>
      </w:r>
    </w:p>
    <w:p>
      <w:pPr>
        <w:spacing w:after="200"/>
      </w:pPr>
      <w:r>
        <w:rPr>
          <w:b/>
          <w:bCs/>
        </w:rPr>
        <w:t xml:space="preserve">2. No firm-wide tooling, only individual improvisation.</w:t>
      </w:r>
      <w:r>
        <w:rPr>
          <w:b w:val="false"/>
          <w:bCs w:val="false"/>
        </w:rPr>
        <w:t xml:space="preserve"> The intake states plainly: "No formal or firm-wide AI tool usage" beyond one senior accountant informally using ChatGPT for emails and tax-law summaries. This means Bellwood &amp; Cole is not starting from zero technically (there is latent comfort and even enthusiasm among two staff accountants) but is starting from zero </w:t>
      </w:r>
      <w:r>
        <w:rPr>
          <w:b/>
          <w:bCs/>
        </w:rPr>
        <w:t xml:space="preserve">organizationally</w:t>
      </w:r>
      <w:r>
        <w:rPr>
          <w:b w:val="false"/>
          <w:bCs w:val="false"/>
        </w:rPr>
        <w:t xml:space="preserve"> — there's no vetted tool, no policy, no training, no rollout precedent. The root cause of stalled adoption isn't skill or appetite; it's the absence of a sanctioned starting point.</w:t>
      </w:r>
    </w:p>
    <w:p>
      <w:pPr>
        <w:spacing w:after="200"/>
      </w:pPr>
      <w:r>
        <w:rPr>
          <w:b/>
          <w:bCs/>
        </w:rPr>
        <w:t xml:space="preserve">3. Governance uncertainty is quietly suppressing initiative.</w:t>
      </w:r>
      <w:r>
        <w:rPr>
          <w:b w:val="false"/>
          <w:bCs w:val="false"/>
        </w:rPr>
        <w:t xml:space="preserve"> With one partner "skeptical about AI accuracy for anything client-facing" and no SOC 2 certification at the firm level, staff have no clear boundary for what's safe to try. This likely explains why even the two curious staff accountants haven't pushed further than informal ChatGPT use for non-client-data tasks (emails, tax-law summaries) — they are implicitly, correctly, avoiding anything touching actual client financial data without a green light. The root cause here is a </w:t>
      </w:r>
      <w:r>
        <w:rPr>
          <w:b/>
          <w:bCs/>
        </w:rPr>
        <w:t xml:space="preserve">missing governance policy</w:t>
      </w:r>
      <w:r>
        <w:rPr>
          <w:b w:val="false"/>
          <w:bCs w:val="false"/>
        </w:rPr>
        <w:t xml:space="preserve">, not excessive caution; the caution is rational given the stakes (healthcare and legal clients) and the absence of a defined "safe zone."</w:t>
      </w:r>
    </w:p>
    <w:p>
      <w:pPr>
        <w:pStyle w:val="Heading3"/>
      </w:pPr>
      <w:r>
        <w:rPr>
          <w:b w:val="false"/>
          <w:bCs w:val="false"/>
        </w:rPr>
        <w:t xml:space="preserve">Use-Case Prioritization: Impact/Effort Analysis</w:t>
      </w:r>
    </w:p>
    <w:p>
      <w:pPr>
        <w:spacing w:after="200"/>
      </w:pPr>
      <w:r>
        <w:rPr>
          <w:b w:val="false"/>
          <w:bCs w:val="false"/>
        </w:rPr>
        <w:t xml:space="preserve">Applying the Impact/Effort matrix to the three candidate use cases from `wins_sought`, cross-referenced against the readiness scores and root causes above:</w:t>
      </w:r>
    </w:p>
    <w:tbl>
      <w:tblPr>
        <w:tblW w:type="pct" w:w="100%"/>
        <w:tblBorders>
          <w:top w:val="single" w:color="auto" w:sz="4"/>
          <w:left w:val="single" w:color="auto" w:sz="4"/>
          <w:bottom w:val="single" w:color="auto" w:sz="4"/>
          <w:right w:val="single" w:color="auto" w:sz="4"/>
          <w:insideH w:val="single" w:color="auto" w:sz="4"/>
          <w:insideV w:val="single" w:color="auto" w:sz="4"/>
        </w:tblBorders>
      </w:tblPr>
      <w:tblGrid>
        <w:gridCol w:w="100"/>
        <w:gridCol w:w="100"/>
        <w:gridCol w:w="100"/>
        <w:gridCol w:w="100"/>
        <w:gridCol w:w="100"/>
      </w:tblGrid>
      <w:tr>
        <w:tc>
          <w:p>
            <w:r>
              <w:rPr>
                <w:b/>
                <w:bCs/>
              </w:rPr>
              <w:t xml:space="preserve">Use case</w:t>
            </w:r>
          </w:p>
        </w:tc>
        <w:tc>
          <w:p>
            <w:r>
              <w:rPr>
                <w:b/>
                <w:bCs/>
              </w:rPr>
              <w:t xml:space="preserve">Time impact (from projection above)</w:t>
            </w:r>
          </w:p>
        </w:tc>
        <w:tc>
          <w:p>
            <w:r>
              <w:rPr>
                <w:b/>
                <w:bCs/>
              </w:rPr>
              <w:t xml:space="preserve">Effort/risk</w:t>
            </w:r>
          </w:p>
        </w:tc>
        <w:tc>
          <w:p>
            <w:r>
              <w:rPr>
                <w:b/>
                <w:bCs/>
              </w:rPr>
              <w:t xml:space="preserve">Governance sensitivity</w:t>
            </w:r>
          </w:p>
        </w:tc>
        <w:tc>
          <w:p>
            <w:r>
              <w:rPr>
                <w:b/>
                <w:bCs/>
              </w:rPr>
              <w:t xml:space="preserve">Priority</w:t>
            </w:r>
          </w:p>
        </w:tc>
      </w:tr>
      <w:tr>
        <w:tc>
          <w:p>
            <w:r>
              <w:rPr>
                <w:b w:val="false"/>
                <w:bCs w:val="false"/>
              </w:rPr>
              <w:t xml:space="preserve">Transaction categorization automation</w:t>
            </w:r>
          </w:p>
        </w:tc>
        <w:tc>
          <w:p>
            <w:r>
              <w:rPr>
                <w:b w:val="false"/>
                <w:bCs w:val="false"/>
              </w:rPr>
              <w:t xml:space="preserve">4.5–7.2 hrs/week</w:t>
            </w:r>
          </w:p>
        </w:tc>
        <w:tc>
          <w:p>
            <w:r>
              <w:rPr>
                <w:b w:val="false"/>
                <w:bCs w:val="false"/>
              </w:rPr>
              <w:t xml:space="preserve">Medium (touches client financial data directly; needs SOC 2-equivalent tool)</w:t>
            </w:r>
          </w:p>
        </w:tc>
        <w:tc>
          <w:p>
            <w:r>
              <w:rPr>
                <w:b w:val="false"/>
                <w:bCs w:val="false"/>
              </w:rPr>
              <w:t xml:space="preserve">High</w:t>
            </w:r>
          </w:p>
        </w:tc>
        <w:tc>
          <w:p>
            <w:r>
              <w:rPr>
                <w:b/>
                <w:bCs/>
              </w:rPr>
              <w:t xml:space="preserve">1st</w:t>
            </w:r>
          </w:p>
        </w:tc>
      </w:tr>
      <w:tr>
        <w:tc>
          <w:p>
            <w:r>
              <w:rPr>
                <w:b w:val="false"/>
                <w:bCs w:val="false"/>
              </w:rPr>
              <w:t xml:space="preserve">Receipt/invoice data-entry automation (OCR capture)</w:t>
            </w:r>
          </w:p>
        </w:tc>
        <w:tc>
          <w:p>
            <w:r>
              <w:rPr>
                <w:b w:val="false"/>
                <w:bCs w:val="false"/>
              </w:rPr>
              <w:t xml:space="preserve">5.0–7.0 hrs/week</w:t>
            </w:r>
          </w:p>
        </w:tc>
        <w:tc>
          <w:p>
            <w:r>
              <w:rPr>
                <w:b w:val="false"/>
                <w:bCs w:val="false"/>
              </w:rPr>
              <w:t xml:space="preserve">Low–Medium (intake consolidation required first)</w:t>
            </w:r>
          </w:p>
        </w:tc>
        <w:tc>
          <w:p>
            <w:r>
              <w:rPr>
                <w:b w:val="false"/>
                <w:bCs w:val="false"/>
              </w:rPr>
              <w:t xml:space="preserve">Medium</w:t>
            </w:r>
          </w:p>
        </w:tc>
        <w:tc>
          <w:p>
            <w:r>
              <w:rPr>
                <w:b/>
                <w:bCs/>
              </w:rPr>
              <w:t xml:space="preserve">2nd</w:t>
            </w:r>
          </w:p>
        </w:tc>
      </w:tr>
      <w:tr>
        <w:tc>
          <w:p>
            <w:r>
              <w:rPr>
                <w:b w:val="false"/>
                <w:bCs w:val="false"/>
              </w:rPr>
              <w:t xml:space="preserve">Client report generation (first-draft automation)</w:t>
            </w:r>
          </w:p>
        </w:tc>
        <w:tc>
          <w:p>
            <w:r>
              <w:rPr>
                <w:b w:val="false"/>
                <w:bCs w:val="false"/>
              </w:rPr>
              <w:t xml:space="preserve">2.4–3.6 hrs/week</w:t>
            </w:r>
          </w:p>
        </w:tc>
        <w:tc>
          <w:p>
            <w:r>
              <w:rPr>
                <w:b w:val="false"/>
                <w:bCs w:val="false"/>
              </w:rPr>
              <w:t xml:space="preserve">Low (internal draft, human review before client sees it)</w:t>
            </w:r>
          </w:p>
        </w:tc>
        <w:tc>
          <w:p>
            <w:r>
              <w:rPr>
                <w:b w:val="false"/>
                <w:bCs w:val="false"/>
              </w:rPr>
              <w:t xml:space="preserve">Low–Medium</w:t>
            </w:r>
          </w:p>
        </w:tc>
        <w:tc>
          <w:p>
            <w:r>
              <w:rPr>
                <w:b/>
                <w:bCs/>
              </w:rPr>
              <w:t xml:space="preserve">3rd</w:t>
            </w:r>
          </w:p>
        </w:tc>
      </w:tr>
      <w:tr>
        <w:tc>
          <w:p>
            <w:r>
              <w:rPr>
                <w:b w:val="false"/>
                <w:bCs w:val="false"/>
              </w:rPr>
              <w:t xml:space="preserve">Onboarding/chart-of-accounts speed-up</w:t>
            </w:r>
          </w:p>
        </w:tc>
        <w:tc>
          <w:p>
            <w:r>
              <w:rPr>
                <w:b w:val="false"/>
                <w:bCs w:val="false"/>
              </w:rPr>
              <w:t xml:space="preserve">Not separately quantified in intake; qualitative "speed up" goal</w:t>
            </w:r>
          </w:p>
        </w:tc>
        <w:tc>
          <w:p>
            <w:r>
              <w:rPr>
                <w:b w:val="false"/>
                <w:bCs w:val="false"/>
              </w:rPr>
              <w:t xml:space="preserve">Medium (variable per client, less standardized)</w:t>
            </w:r>
          </w:p>
        </w:tc>
        <w:tc>
          <w:p>
            <w:r>
              <w:rPr>
                <w:b w:val="false"/>
                <w:bCs w:val="false"/>
              </w:rPr>
              <w:t xml:space="preserve">Medium</w:t>
            </w:r>
          </w:p>
        </w:tc>
        <w:tc>
          <w:p>
            <w:r>
              <w:rPr>
                <w:b/>
                <w:bCs/>
              </w:rPr>
              <w:t xml:space="preserve">4th (stretch)</w:t>
            </w:r>
          </w:p>
        </w:tc>
      </w:tr>
    </w:tbl>
    <w:p>
      <w:pPr>
        <w:spacing w:after="120"/>
      </w:pPr>
    </w:p>
    <w:p>
      <w:pPr>
        <w:spacing w:after="200"/>
      </w:pPr>
      <w:r>
        <w:rPr>
          <w:b/>
          <w:bCs/>
        </w:rPr>
        <w:t xml:space="preserve">Reasoning behind the ranking:</w:t>
      </w:r>
    </w:p>
    <w:p>
      <w:pPr>
        <w:spacing w:after="200"/>
      </w:pPr>
      <w:r>
        <w:rPr>
          <w:b w:val="false"/>
          <w:bCs w:val="false"/>
        </w:rPr>
        <w:t xml:space="preserve">Transaction categorization ranks first *not* because it's the easiest, but because it's the single largest bloc of recoverable time (18 hrs/week baseline, largest absolute savings potential) and because it's the one workflow that touches all 14 bookkeepers daily — meaning success here has the broadest organizational proof-of-concept value. It's also the use case most directly threatened by "vendor-embedded AI" (QBO and Xero already ship categorization features), so the roadmap needs to evaluate *whether a third-party tool adds enough incremental accuracy/time-savings over native QBO/Xero rules to justify its cost* — this is a build-vs-adopt question the tool shortlist must answer explicitly, not assume.</w:t>
      </w:r>
    </w:p>
    <w:p>
      <w:pPr>
        <w:spacing w:after="200"/>
      </w:pPr>
      <w:r>
        <w:rPr>
          <w:b w:val="false"/>
          <w:bCs w:val="false"/>
        </w:rPr>
        <w:t xml:space="preserve">Receipt/data-entry automation ranks second because it has the highest *percentage* reduction potential (50–70%) but is gated by the root cause identified above — fragmented intake channels. This use case can't just be "add OCR tool"; it requires a companion decision about consolidating client document submission (e.g., standardizing on one upload channel) or the tool will be fighting the same fragmentation problem it's meant to solve. This is lower effort technically but has a hidden change-management cost (getting clients, not just staff, to adjust behavior).</w:t>
      </w:r>
    </w:p>
    <w:p>
      <w:pPr>
        <w:spacing w:after="200"/>
      </w:pPr>
      <w:r>
        <w:rPr>
          <w:b w:val="false"/>
          <w:bCs w:val="false"/>
        </w:rPr>
        <w:t xml:space="preserve">Report generation ranks third despite being the least time-intensive (6 hrs/week baseline) because it is the </w:t>
      </w:r>
      <w:r>
        <w:rPr>
          <w:b/>
          <w:bCs/>
        </w:rPr>
        <w:t xml:space="preserve">lowest-risk starting point for building partner trust</w:t>
      </w:r>
      <w:r>
        <w:rPr>
          <w:b w:val="false"/>
          <w:bCs w:val="false"/>
        </w:rPr>
        <w:t xml:space="preserve">, given the explicit skepticism about AI accuracy in anything client-facing. A "draft-then-human-review" report workflow, where AI assembles the first draft internally and an account manager or partner still signs off before it reaches a client, directly addresses the skeptical partner's stated concern without asking that partner to accept any autonomous client-facing AI output. This makes it a strong </w:t>
      </w:r>
      <w:r>
        <w:rPr>
          <w:b/>
          <w:bCs/>
        </w:rPr>
        <w:t xml:space="preserve">second or parallel-track pilot</w:t>
      </w:r>
      <w:r>
        <w:rPr>
          <w:b w:val="false"/>
          <w:bCs w:val="false"/>
        </w:rPr>
        <w:t xml:space="preserve">, not because it saves the most time, but because it's the most credible confidence-building use case given the specific personnel dynamic described in the intake.</w:t>
      </w:r>
    </w:p>
    <w:p>
      <w:pPr>
        <w:spacing w:after="200"/>
      </w:pPr>
      <w:r>
        <w:rPr>
          <w:b w:val="false"/>
          <w:bCs w:val="false"/>
        </w:rPr>
        <w:t xml:space="preserve">Onboarding/chart-of-accounts setup is included as a fourth, lower-priority item because the intake doesn't quantify its current time cost the way it does for the other three workflows — there's a stated aspiration ("speed up new-client onboarding") but no baseline number, which makes it harder to project impact with the same rigor. It's flagged as a stretch goal for the roadmap's later phase rather than a core 90-day deliverable.</w:t>
      </w:r>
    </w:p>
    <w:p>
      <w:pPr>
        <w:pStyle w:val="Heading3"/>
      </w:pPr>
      <w:r>
        <w:rPr>
          <w:b w:val="false"/>
          <w:bCs w:val="false"/>
        </w:rPr>
        <w:t xml:space="preserve">Budget Reality Check</w:t>
      </w:r>
    </w:p>
    <w:p>
      <w:pPr>
        <w:spacing w:after="200"/>
      </w:pPr>
      <w:r>
        <w:rPr>
          <w:b w:val="false"/>
          <w:bCs w:val="false"/>
        </w:rPr>
        <w:t xml:space="preserve">The research section's benchmark ($3,800–$7,750/month typical tech spend at this revenue size) versus Bellwood &amp; Cole's stated ceiling ($1,500–$2,000/month) surfaces a real constraint that must shape the tool shortlist, not just be noted as a caveat. At $2,000/month, the firm can realistically support </w:t>
      </w:r>
      <w:r>
        <w:rPr>
          <w:b/>
          <w:bCs/>
        </w:rPr>
        <w:t xml:space="preserve">2–3 focused, SOC 2-compliant tools</w:t>
      </w:r>
      <w:r>
        <w:rPr>
          <w:b w:val="false"/>
          <w:bCs w:val="false"/>
        </w:rPr>
        <w:t xml:space="preserve"> integrated with QBO — not a broad stack. This reinforces the prioritization above: the budget effectively forces a sequential rollout (categorization tool first, then receipt capture, with reporting automation potentially achievable through a lower-cost or already-owned tool, such as an AI layer on existing QBO/Xero reporting rather than a new standalone platform). The willingness to pay separately for one-time implementation help is a meaningful lever — it suggests the ongoing subscription budget should be reserved for the tools themselves, while setup, integration testing, and staff training are treated as a one-time cost outside the $2,000/month ceiling.</w:t>
      </w:r>
    </w:p>
    <w:p>
      <w:pPr>
        <w:pStyle w:val="Heading3"/>
      </w:pPr>
      <w:r>
        <w:rPr>
          <w:b w:val="false"/>
          <w:bCs w:val="false"/>
        </w:rPr>
        <w:t xml:space="preserve">Prioritization Logic Summary</w:t>
      </w:r>
    </w:p>
    <w:p>
      <w:pPr>
        <w:spacing w:after="200"/>
      </w:pPr>
      <w:r>
        <w:rPr>
          <w:b w:val="false"/>
          <w:bCs w:val="false"/>
        </w:rPr>
        <w:t xml:space="preserve">The ranking above is not simply "biggest number wins." It weighs four factors deliberately: (1) absolute time-savings potential against the firm's own 34-hour baseline, (2) governance/risk exposure given the healthcare/legal client base and current lack of SOC 2 certification, (3) organizational trust-building sequencing given the identified skeptic and the two willing champions, and (4) budget feasibility at $1,500–$2,000/month. Categorization automation wins on factor 1 and organizational reach; report drafting wins on factor 3; receipt capture sits in the middle but is gated by an intake-consolidation prerequisite the firm hasn't yet addressed. This is why the 90-day roadmap (detailed in the next section) sequences categorization and reporting in parallel tracks — one championed by the two curious staff accountants, one designed explicitly to earn the skeptical partner's confidence — before layering in receipt-capture automation once intake channels are rationalized.</w:t>
      </w:r>
    </w:p>
    <w:p>
      <w:pPr>
        <w:pStyle w:val="Heading1"/>
      </w:pPr>
      <w:r>
        <w:t xml:space="preserve">AI readiness assessment</w:t>
      </w:r>
    </w:p>
    <w:p>
      <w:pPr>
        <w:pStyle w:val="Heading3"/>
      </w:pPr>
      <w:r>
        <w:rPr>
          <w:b w:val="false"/>
          <w:bCs w:val="false"/>
        </w:rPr>
        <w:t xml:space="preserve">AI Readiness Assessment</w:t>
      </w:r>
    </w:p>
    <w:p>
      <w:pPr>
        <w:spacing w:after="200"/>
      </w:pPr>
      <w:r>
        <w:rPr>
          <w:b w:val="false"/>
          <w:bCs w:val="false"/>
        </w:rPr>
        <w:t xml:space="preserve">This section consolidates the readiness scoring into a single go/no-go judgment for each of the three priority workflows, and specifies exactly what must be true — organizationally, not just technically — before Bellwood &amp; Cole turns any of them on. The assessment below is the direct input to the use-case prioritization and 90-day roadmap sections; nothing here is aspirational scoring for its own sake.</w:t>
      </w:r>
    </w:p>
    <w:p>
      <w:pPr>
        <w:pStyle w:val="Heading3"/>
      </w:pPr>
      <w:r>
        <w:rPr>
          <w:b w:val="false"/>
          <w:bCs w:val="false"/>
        </w:rPr>
        <w:t xml:space="preserve">Overall Readiness Verdict</w:t>
      </w:r>
    </w:p>
    <w:p>
      <w:pPr>
        <w:spacing w:after="200"/>
      </w:pPr>
      <w:r>
        <w:rPr>
          <w:b/>
          <w:bCs/>
        </w:rPr>
        <w:t xml:space="preserve">Bellwood &amp; Cole is technically ready and organizationally under-prepared.</w:t>
      </w:r>
      <w:r>
        <w:rPr>
          <w:b w:val="false"/>
          <w:bCs w:val="false"/>
        </w:rPr>
        <w:t xml:space="preserve"> The composite readiness score across the four dimensions is </w:t>
      </w:r>
      <w:r>
        <w:rPr>
          <w:b/>
          <w:bCs/>
        </w:rPr>
        <w:t xml:space="preserve">3.0/5</w:t>
      </w:r>
      <w:r>
        <w:rPr>
          <w:b w:val="false"/>
          <w:bCs w:val="false"/>
        </w:rPr>
        <w:t xml:space="preserve">, but that average masks a dangerous asymmetry: data and process readiness (3/5 and 4/5) would support an aggressive rollout starting Monday; people and governance readiness (2.5/5 each) would not survive contact with the skeptical partner or a client data-handling question. Rolling out any client-data-touching tool before closing the governance gap risks a false start that could set adoption back further than staying manual — a bad tool rollout in a 22-person trust-based firm travels fast internally.</w:t>
      </w:r>
    </w:p>
    <w:p>
      <w:pPr>
        <w:spacing w:after="200"/>
      </w:pPr>
      <w:r>
        <w:rPr>
          <w:b/>
          <w:bCs/>
        </w:rPr>
        <w:t xml:space="preserve">Verdict by workflow:</w:t>
      </w:r>
    </w:p>
    <w:tbl>
      <w:tblPr>
        <w:tblW w:type="pct" w:w="100%"/>
        <w:tblBorders>
          <w:top w:val="single" w:color="auto" w:sz="4"/>
          <w:left w:val="single" w:color="auto" w:sz="4"/>
          <w:bottom w:val="single" w:color="auto" w:sz="4"/>
          <w:right w:val="single" w:color="auto" w:sz="4"/>
          <w:insideH w:val="single" w:color="auto" w:sz="4"/>
          <w:insideV w:val="single" w:color="auto" w:sz="4"/>
        </w:tblBorders>
      </w:tblPr>
      <w:tblGrid>
        <w:gridCol w:w="100"/>
        <w:gridCol w:w="100"/>
        <w:gridCol w:w="100"/>
      </w:tblGrid>
      <w:tr>
        <w:tc>
          <w:p>
            <w:r>
              <w:rPr>
                <w:b/>
                <w:bCs/>
              </w:rPr>
              <w:t xml:space="preserve">Workflow</w:t>
            </w:r>
          </w:p>
        </w:tc>
        <w:tc>
          <w:p>
            <w:r>
              <w:rPr>
                <w:b/>
                <w:bCs/>
              </w:rPr>
              <w:t xml:space="preserve">Ready to pilot now?</w:t>
            </w:r>
          </w:p>
        </w:tc>
        <w:tc>
          <w:p>
            <w:r>
              <w:rPr>
                <w:b/>
                <w:bCs/>
              </w:rPr>
              <w:t xml:space="preserve">Blocking condition before go-live</w:t>
            </w:r>
          </w:p>
        </w:tc>
      </w:tr>
      <w:tr>
        <w:tc>
          <w:p>
            <w:r>
              <w:rPr>
                <w:b w:val="false"/>
                <w:bCs w:val="false"/>
              </w:rPr>
              <w:t xml:space="preserve">Report generation (internal draft only)</w:t>
            </w:r>
          </w:p>
        </w:tc>
        <w:tc>
          <w:p>
            <w:r>
              <w:rPr>
                <w:b/>
                <w:bCs/>
              </w:rPr>
              <w:t xml:space="preserve">Yes</w:t>
            </w:r>
          </w:p>
        </w:tc>
        <w:tc>
          <w:p>
            <w:r>
              <w:rPr>
                <w:b w:val="false"/>
                <w:bCs w:val="false"/>
              </w:rPr>
              <w:t xml:space="preserve">None — no client data leaves the firm's review loop; lowest-risk starting point</w:t>
            </w:r>
          </w:p>
        </w:tc>
      </w:tr>
      <w:tr>
        <w:tc>
          <w:p>
            <w:r>
              <w:rPr>
                <w:b w:val="false"/>
                <w:bCs w:val="false"/>
              </w:rPr>
              <w:t xml:space="preserve">Transaction categorization</w:t>
            </w:r>
          </w:p>
        </w:tc>
        <w:tc>
          <w:p>
            <w:r>
              <w:rPr>
                <w:b/>
                <w:bCs/>
              </w:rPr>
              <w:t xml:space="preserve">Conditional</w:t>
            </w:r>
          </w:p>
        </w:tc>
        <w:tc>
          <w:p>
            <w:r>
              <w:rPr>
                <w:b w:val="false"/>
                <w:bCs w:val="false"/>
              </w:rPr>
              <w:t xml:space="preserve">Requires written AI data-handling policy + tool must have SOC 2 Type II or equivalent attestation on file before any client bank data touches it</w:t>
            </w:r>
          </w:p>
        </w:tc>
      </w:tr>
      <w:tr>
        <w:tc>
          <w:p>
            <w:r>
              <w:rPr>
                <w:b w:val="false"/>
                <w:bCs w:val="false"/>
              </w:rPr>
              <w:t xml:space="preserve">Receipt/invoice data-entry automation</w:t>
            </w:r>
          </w:p>
        </w:tc>
        <w:tc>
          <w:p>
            <w:r>
              <w:rPr>
                <w:b/>
                <w:bCs/>
              </w:rPr>
              <w:t xml:space="preserve">Not yet</w:t>
            </w:r>
          </w:p>
        </w:tc>
        <w:tc>
          <w:p>
            <w:r>
              <w:rPr>
                <w:b w:val="false"/>
                <w:bCs w:val="false"/>
              </w:rPr>
              <w:t xml:space="preserve">Requires intake-channel consolidation decision first (see root cause analysis); rolling out OCR against four inconsistent intake channels will underperform and create rework</w:t>
            </w:r>
          </w:p>
        </w:tc>
      </w:tr>
    </w:tbl>
    <w:p>
      <w:pPr>
        <w:spacing w:after="120"/>
      </w:pPr>
    </w:p>
    <w:p>
      <w:pPr>
        <w:pStyle w:val="Heading3"/>
      </w:pPr>
      <w:r>
        <w:rPr>
          <w:b w:val="false"/>
          <w:bCs w:val="false"/>
        </w:rPr>
        <w:t xml:space="preserve">The Governance Gap Is the Real Constraint — Not Skill or Appetite</w:t>
      </w:r>
    </w:p>
    <w:p>
      <w:pPr>
        <w:spacing w:after="200"/>
      </w:pPr>
      <w:r>
        <w:rPr>
          <w:b w:val="false"/>
          <w:bCs w:val="false"/>
        </w:rPr>
        <w:t xml:space="preserve">The intake data is consistent on this point: two staff accountants are already comfortable experimenting, roughly a third of the team is passively tech-comfortable, and even the ChatGPT usage that exists today has been self-limited to non-client-data tasks (email drafts, tax-law summaries) without anyone instructing staff to do so. That self-limiting behavior is the clearest available evidence that the team's risk instincts are sound — they simply have no sanctioned path forward. </w:t>
      </w:r>
      <w:r>
        <w:rPr>
          <w:b/>
          <w:bCs/>
        </w:rPr>
        <w:t xml:space="preserve">This means the fastest path to readiness is not training, it's policy.</w:t>
      </w:r>
      <w:r>
        <w:rPr>
          <w:b w:val="false"/>
          <w:bCs w:val="false"/>
        </w:rPr>
        <w:t xml:space="preserve"> Training staff on a tool they aren't yet permitted to use on real client data solves the wrong problem first.</w:t>
      </w:r>
    </w:p>
    <w:p>
      <w:pPr>
        <w:spacing w:after="200"/>
      </w:pPr>
      <w:r>
        <w:rPr>
          <w:b/>
          <w:bCs/>
        </w:rPr>
        <w:t xml:space="preserve">Concrete action, Monday morning:</w:t>
      </w:r>
      <w:r>
        <w:rPr>
          <w:b w:val="false"/>
          <w:bCs w:val="false"/>
        </w:rPr>
        <w:t xml:space="preserve"> One partner (ideally the non-skeptical one, to avoid the policy itself becoming a flashpoint) drafts a one-page </w:t>
      </w:r>
      <w:r>
        <w:rPr>
          <w:b/>
          <w:bCs/>
        </w:rPr>
        <w:t xml:space="preserve">AI Data Handling Policy</w:t>
      </w:r>
      <w:r>
        <w:rPr>
          <w:b w:val="false"/>
          <w:bCs w:val="false"/>
        </w:rPr>
        <w:t xml:space="preserve"> covering:</w:t>
      </w:r>
    </w:p>
    <w:p>
      <w:pPr>
        <w:spacing w:after="80"/>
        <w:ind w:left="360"/>
      </w:pPr>
      <w:r>
        <w:rPr>
          <w:b w:val="false"/>
          <w:bCs w:val="false"/>
        </w:rPr>
        <w:t xml:space="preserve">•  </w:t>
      </w:r>
      <w:r>
        <w:rPr>
          <w:b w:val="false"/>
          <w:bCs w:val="false"/>
        </w:rPr>
        <w:t xml:space="preserve">Which categories of data may touch a third-party AI tool (ledger transaction metadata: yes, once vendor is vetted; raw bank credentials or full account numbers: never leave QBO/Xero's native environment; client PII beyond what's already in QBO: no)</w:t>
      </w:r>
    </w:p>
    <w:p>
      <w:pPr>
        <w:spacing w:after="80"/>
        <w:ind w:left="360"/>
      </w:pPr>
      <w:r>
        <w:rPr>
          <w:b w:val="false"/>
          <w:bCs w:val="false"/>
        </w:rPr>
        <w:t xml:space="preserve">•  </w:t>
      </w:r>
      <w:r>
        <w:rPr>
          <w:b w:val="false"/>
          <w:bCs w:val="false"/>
        </w:rPr>
        <w:t xml:space="preserve">Minimum vendor bar: SOC 2 Type II report (or explicit written equivalent) on file *before* procurement, not after</w:t>
      </w:r>
    </w:p>
    <w:p>
      <w:pPr>
        <w:spacing w:after="80"/>
        <w:ind w:left="360"/>
      </w:pPr>
      <w:r>
        <w:rPr>
          <w:b w:val="false"/>
          <w:bCs w:val="false"/>
        </w:rPr>
        <w:t xml:space="preserve">•  </w:t>
      </w:r>
      <w:r>
        <w:rPr>
          <w:b w:val="false"/>
          <w:bCs w:val="false"/>
        </w:rPr>
        <w:t xml:space="preserve">Human-in-the-loop requirement: no AI-generated output reaches a client without staff-accountant-or-above review and sign-off, for at least the first 90 days</w:t>
      </w:r>
    </w:p>
    <w:p>
      <w:pPr>
        <w:spacing w:after="80"/>
        <w:ind w:left="360"/>
      </w:pPr>
      <w:r>
        <w:rPr>
          <w:b w:val="false"/>
          <w:bCs w:val="false"/>
        </w:rPr>
        <w:t xml:space="preserve">•  </w:t>
      </w:r>
      <w:r>
        <w:rPr>
          <w:b w:val="false"/>
          <w:bCs w:val="false"/>
        </w:rPr>
        <w:t xml:space="preserve">A named internal point of contact (recommend: the operationally-minded partner, not the skeptical one) who approves any new tool trial</w:t>
      </w:r>
    </w:p>
    <w:p>
      <w:pPr>
        <w:spacing w:after="200"/>
      </w:pPr>
      <w:r>
        <w:rPr>
          <w:b/>
          <w:bCs/>
        </w:rPr>
        <w:t xml:space="preserve">Effort:</w:t>
      </w:r>
      <w:r>
        <w:rPr>
          <w:b w:val="false"/>
          <w:bCs w:val="false"/>
        </w:rPr>
        <w:t xml:space="preserve"> 3–4 hours to draft, using this report's findings as the source material; one partner meeting to ratify. </w:t>
      </w:r>
      <w:r>
        <w:rPr>
          <w:b/>
          <w:bCs/>
        </w:rPr>
        <w:t xml:space="preserve">Impact:</w:t>
      </w:r>
      <w:r>
        <w:rPr>
          <w:b w:val="false"/>
          <w:bCs w:val="false"/>
        </w:rPr>
        <w:t xml:space="preserve"> this single document converts governance readiness from 2.5/5 to a workable 4/5 without touching a single tool, and gives the skeptical partner something concrete to react to rather than a vague "we're exploring AI" conversation — skepticism is far easier to resolve against a specific policy than an open-ended initiative.</w:t>
      </w:r>
    </w:p>
    <w:p>
      <w:pPr>
        <w:pStyle w:val="Heading3"/>
      </w:pPr>
      <w:r>
        <w:rPr>
          <w:b w:val="false"/>
          <w:bCs w:val="false"/>
        </w:rPr>
        <w:t xml:space="preserve">Closing the People Readiness Gap Without Forcing the Skeptical Partner's Hand</w:t>
      </w:r>
    </w:p>
    <w:p>
      <w:pPr>
        <w:spacing w:after="200"/>
      </w:pPr>
      <w:r>
        <w:rPr>
          <w:b w:val="false"/>
          <w:bCs w:val="false"/>
        </w:rPr>
        <w:t xml:space="preserve">The skeptical partner's stated concern is specifically about "AI accuracy for anything client-facing" — not AI in general, not internal efficiency tools. That's a narrow, addressable objection, not a firm-wide veto, and the readiness plan should treat it that way rather than trying to win a broad argument about AI.</w:t>
      </w:r>
    </w:p>
    <w:p>
      <w:pPr>
        <w:spacing w:after="200"/>
      </w:pPr>
      <w:r>
        <w:rPr>
          <w:b/>
          <w:bCs/>
        </w:rPr>
        <w:t xml:space="preserve">Concrete action:</w:t>
      </w:r>
      <w:r>
        <w:rPr>
          <w:b w:val="false"/>
          <w:bCs w:val="false"/>
        </w:rPr>
        <w:t xml:space="preserve"> Structure the first 30 days so the skeptical partner sees only outputs that have already passed human review — i.e., pilot report-drafting automation on the partner's own client roster first, with the partner explicitly in the review seat rather than reading about the pilot secondhand. This converts the skeptic into the QA gatekeeper for the riskiest use case, which is a more productive role than bystander-critic, and it directly targets the accuracy concern with evidence rather than argument. </w:t>
      </w:r>
      <w:r>
        <w:rPr>
          <w:b/>
          <w:bCs/>
        </w:rPr>
        <w:t xml:space="preserve">Effort:</w:t>
      </w:r>
      <w:r>
        <w:rPr>
          <w:b w:val="false"/>
          <w:bCs w:val="false"/>
        </w:rPr>
        <w:t xml:space="preserve"> zero additional cost — this is a sequencing decision, not a tool decision. </w:t>
      </w:r>
      <w:r>
        <w:rPr>
          <w:b/>
          <w:bCs/>
        </w:rPr>
        <w:t xml:space="preserve">Impact:</w:t>
      </w:r>
      <w:r>
        <w:rPr>
          <w:b w:val="false"/>
          <w:bCs w:val="false"/>
        </w:rPr>
        <w:t xml:space="preserve"> this is the single highest-leverage non-technical move available in the readiness plan, because a partner's public buy-in (or continued public skepticism) will disproportionately shape whether the other 20 staff adopt these tools voluntarily or grudgingly.</w:t>
      </w:r>
    </w:p>
    <w:p>
      <w:pPr>
        <w:spacing w:after="200"/>
      </w:pPr>
      <w:r>
        <w:rPr>
          <w:b w:val="false"/>
          <w:bCs w:val="false"/>
        </w:rPr>
        <w:t xml:space="preserve">For the two curious staff accountants, formally designate them as pilot leads for the categorization workflow rather than leaving their enthusiasm informal. </w:t>
      </w:r>
      <w:r>
        <w:rPr>
          <w:b/>
          <w:bCs/>
        </w:rPr>
        <w:t xml:space="preserve">Concrete action:</w:t>
      </w:r>
      <w:r>
        <w:rPr>
          <w:b w:val="false"/>
          <w:bCs w:val="false"/>
        </w:rPr>
        <w:t xml:space="preserve"> partners name them in writing (even a two-line email) as the categorization pilot team, give them explicit permission to spend up to 3 hours/week during the pilot testing and documenting tool behavior against a sample of 10–15 client files, and have them report findings biweekly to the ops-focused partner. </w:t>
      </w:r>
      <w:r>
        <w:rPr>
          <w:b/>
          <w:bCs/>
        </w:rPr>
        <w:t xml:space="preserve">Effort:</w:t>
      </w:r>
      <w:r>
        <w:rPr>
          <w:b w:val="false"/>
          <w:bCs w:val="false"/>
        </w:rPr>
        <w:t xml:space="preserve"> near-zero cost, ~3 hrs/week per person for 6–8 weeks. </w:t>
      </w:r>
      <w:r>
        <w:rPr>
          <w:b/>
          <w:bCs/>
        </w:rPr>
        <w:t xml:space="preserve">Impact:</w:t>
      </w:r>
      <w:r>
        <w:rPr>
          <w:b w:val="false"/>
          <w:bCs w:val="false"/>
        </w:rPr>
        <w:t xml:space="preserve"> converts latent enthusiasm into an accountable pilot function, and produces the internal case study needed to bring the "comfortable but not proactive" third of the team along in the walk/run phases.</w:t>
      </w:r>
    </w:p>
    <w:p>
      <w:pPr>
        <w:pStyle w:val="Heading3"/>
      </w:pPr>
      <w:r>
        <w:rPr>
          <w:b w:val="false"/>
          <w:bCs w:val="false"/>
        </w:rPr>
        <w:t xml:space="preserve">Data Readiness: The Ledger Is Fine, the Front Door Isn't</w:t>
      </w:r>
    </w:p>
    <w:p>
      <w:pPr>
        <w:spacing w:after="200"/>
      </w:pPr>
      <w:r>
        <w:rPr>
          <w:b w:val="false"/>
          <w:bCs w:val="false"/>
        </w:rPr>
        <w:t xml:space="preserve">Scoring data readiness at 3/5 rather than higher is entirely attributable to receipt/source-document intake, not the ledger. QBO and Xero data is described as clean and structured — that's a genuine asset most firms this size don't have, and it means categorization automation can proceed without a data-cleanup phase. But receipts arriving via Google Drive uploads, direct email, photos, and physical mail across ~22 clients (roughly, given a mixed base) means any OCR tool deployed today would be solving inconsistency, not eliminating it.</w:t>
      </w:r>
    </w:p>
    <w:p>
      <w:pPr>
        <w:spacing w:after="200"/>
      </w:pPr>
      <w:r>
        <w:rPr>
          <w:b/>
          <w:bCs/>
        </w:rPr>
        <w:t xml:space="preserve">Concrete action:</w:t>
      </w:r>
      <w:r>
        <w:rPr>
          <w:b w:val="false"/>
          <w:bCs w:val="false"/>
        </w:rPr>
        <w:t xml:space="preserve"> before evaluating OCR vendors, the account managers (the 4 client-facing staff, who own this relationship) should run a one-time audit: for each active client, record which of the four intake channels they currently use. </w:t>
      </w:r>
      <w:r>
        <w:rPr>
          <w:b/>
          <w:bCs/>
        </w:rPr>
        <w:t xml:space="preserve">Effort:</w:t>
      </w:r>
      <w:r>
        <w:rPr>
          <w:b w:val="false"/>
          <w:bCs w:val="false"/>
        </w:rPr>
        <w:t xml:space="preserve"> roughly 2 hours total across the 4 account managers (30 min each, covering their respective client segments). </w:t>
      </w:r>
      <w:r>
        <w:rPr>
          <w:b/>
          <w:bCs/>
        </w:rPr>
        <w:t xml:space="preserve">Output:</w:t>
      </w:r>
      <w:r>
        <w:rPr>
          <w:b w:val="false"/>
          <w:bCs w:val="false"/>
        </w:rPr>
        <w:t xml:space="preserve"> a simple client-by-channel table that determines whether Bellwood &amp; Cole should (a) consolidate all clients onto a single upload channel before automating, or (b) accept multi-channel intake and select an OCR tool specifically rated for ingesting email attachments and photos, not just clean scanned uploads. This single audit changes which tools belong on the shortlist and should be completed before any receipt-automation vendor conversation.</w:t>
      </w:r>
    </w:p>
    <w:p>
      <w:pPr>
        <w:pStyle w:val="Heading3"/>
      </w:pPr>
      <w:r>
        <w:rPr>
          <w:b w:val="false"/>
          <w:bCs w:val="false"/>
        </w:rPr>
        <w:t xml:space="preserve">Process Readiness: Confirmed High, With One Caveat</w:t>
      </w:r>
    </w:p>
    <w:p>
      <w:pPr>
        <w:spacing w:after="200"/>
      </w:pPr>
      <w:r>
        <w:rPr>
          <w:b w:val="false"/>
          <w:bCs w:val="false"/>
        </w:rPr>
        <w:t xml:space="preserve">The 4/5 process readiness score reflects genuinely favorable conditions: 34 hours/week of manual work, concentrated in three well-defined, repeatable, largely rules-based tasks, performed by a team of 14 doing essentially the same work daily. This is close to a textbook automation candidate profile. The caveat: "rules-based" does not mean "judgment-free" — transaction categorization in particular involves edge cases (personal vs. business expense ambiguity, client-specific chart-of-accounts quirks) that any tool will mis-categorize at some rate. Readiness here means accepting a review-and-correct workflow indefinitely, not a "set and forget" one. Budget the pilot's success criteria accordingly (see below) rather than expecting zero-touch automation from day one.</w:t>
      </w:r>
    </w:p>
    <w:p>
      <w:pPr>
        <w:pStyle w:val="Heading3"/>
      </w:pPr>
      <w:r>
        <w:rPr>
          <w:b w:val="false"/>
          <w:bCs w:val="false"/>
        </w:rPr>
        <w:t xml:space="preserve">Readiness-to-Pilot Scorecard: What "Go" Looks Like by Workflow</w:t>
      </w:r>
    </w:p>
    <w:tbl>
      <w:tblPr>
        <w:tblW w:type="pct" w:w="100%"/>
        <w:tblBorders>
          <w:top w:val="single" w:color="auto" w:sz="4"/>
          <w:left w:val="single" w:color="auto" w:sz="4"/>
          <w:bottom w:val="single" w:color="auto" w:sz="4"/>
          <w:right w:val="single" w:color="auto" w:sz="4"/>
          <w:insideH w:val="single" w:color="auto" w:sz="4"/>
          <w:insideV w:val="single" w:color="auto" w:sz="4"/>
        </w:tblBorders>
      </w:tblPr>
      <w:tblGrid>
        <w:gridCol w:w="100"/>
        <w:gridCol w:w="100"/>
        <w:gridCol w:w="100"/>
        <w:gridCol w:w="100"/>
      </w:tblGrid>
      <w:tr>
        <w:tc>
          <w:p>
            <w:r>
              <w:rPr>
                <w:b/>
                <w:bCs/>
              </w:rPr>
              <w:t xml:space="preserve">Workflow</w:t>
            </w:r>
          </w:p>
        </w:tc>
        <w:tc>
          <w:p>
            <w:r>
              <w:rPr>
                <w:b/>
                <w:bCs/>
              </w:rPr>
              <w:t xml:space="preserve">Go-live trigger</w:t>
            </w:r>
          </w:p>
        </w:tc>
        <w:tc>
          <w:p>
            <w:r>
              <w:rPr>
                <w:b/>
                <w:bCs/>
              </w:rPr>
              <w:t xml:space="preserve">Owner</w:t>
            </w:r>
          </w:p>
        </w:tc>
        <w:tc>
          <w:p>
            <w:r>
              <w:rPr>
                <w:b/>
                <w:bCs/>
              </w:rPr>
              <w:t xml:space="preserve">Target date from kickoff</w:t>
            </w:r>
          </w:p>
        </w:tc>
      </w:tr>
      <w:tr>
        <w:tc>
          <w:p>
            <w:r>
              <w:rPr>
                <w:b w:val="false"/>
                <w:bCs w:val="false"/>
              </w:rPr>
              <w:t xml:space="preserve">Report drafting (internal)</w:t>
            </w:r>
          </w:p>
        </w:tc>
        <w:tc>
          <w:p>
            <w:r>
              <w:rPr>
                <w:b w:val="false"/>
                <w:bCs w:val="false"/>
              </w:rPr>
              <w:t xml:space="preserve">Policy doc ratified; skeptical partner briefed and assigned as reviewer</w:t>
            </w:r>
          </w:p>
        </w:tc>
        <w:tc>
          <w:p>
            <w:r>
              <w:rPr>
                <w:b w:val="false"/>
                <w:bCs w:val="false"/>
              </w:rPr>
              <w:t xml:space="preserve">Ops partner</w:t>
            </w:r>
          </w:p>
        </w:tc>
        <w:tc>
          <w:p>
            <w:r>
              <w:rPr>
                <w:b w:val="false"/>
                <w:bCs w:val="false"/>
              </w:rPr>
              <w:t xml:space="preserve">Week 1</w:t>
            </w:r>
          </w:p>
        </w:tc>
      </w:tr>
      <w:tr>
        <w:tc>
          <w:p>
            <w:r>
              <w:rPr>
                <w:b w:val="false"/>
                <w:bCs w:val="false"/>
              </w:rPr>
              <w:t xml:space="preserve">Transaction categorization pilot</w:t>
            </w:r>
          </w:p>
        </w:tc>
        <w:tc>
          <w:p>
            <w:r>
              <w:rPr>
                <w:b w:val="false"/>
                <w:bCs w:val="false"/>
              </w:rPr>
              <w:t xml:space="preserve">Policy doc ratified + SOC 2/equivalent attestation on file from shortlisted vendor + 2 pilot staff named</w:t>
            </w:r>
          </w:p>
        </w:tc>
        <w:tc>
          <w:p>
            <w:r>
              <w:rPr>
                <w:b w:val="false"/>
                <w:bCs w:val="false"/>
              </w:rPr>
              <w:t xml:space="preserve">Ops partner + 2 pilot staff accountants</w:t>
            </w:r>
          </w:p>
        </w:tc>
        <w:tc>
          <w:p>
            <w:r>
              <w:rPr>
                <w:b w:val="false"/>
                <w:bCs w:val="false"/>
              </w:rPr>
              <w:t xml:space="preserve">Week 3–4</w:t>
            </w:r>
          </w:p>
        </w:tc>
      </w:tr>
      <w:tr>
        <w:tc>
          <w:p>
            <w:r>
              <w:rPr>
                <w:b w:val="false"/>
                <w:bCs w:val="false"/>
              </w:rPr>
              <w:t xml:space="preserve">Receipt/data-entry automation</w:t>
            </w:r>
          </w:p>
        </w:tc>
        <w:tc>
          <w:p>
            <w:r>
              <w:rPr>
                <w:b w:val="false"/>
                <w:bCs w:val="false"/>
              </w:rPr>
              <w:t xml:space="preserve">Intake-channel audit complete + decision made on consolidation vs. multi-channel tool</w:t>
            </w:r>
          </w:p>
        </w:tc>
        <w:tc>
          <w:p>
            <w:r>
              <w:rPr>
                <w:b w:val="false"/>
                <w:bCs w:val="false"/>
              </w:rPr>
              <w:t xml:space="preserve">4 account managers + ops partner</w:t>
            </w:r>
          </w:p>
        </w:tc>
        <w:tc>
          <w:p>
            <w:r>
              <w:rPr>
                <w:b w:val="false"/>
                <w:bCs w:val="false"/>
              </w:rPr>
              <w:t xml:space="preserve">Week 5–6</w:t>
            </w:r>
          </w:p>
        </w:tc>
      </w:tr>
    </w:tbl>
    <w:p>
      <w:pPr>
        <w:spacing w:after="120"/>
      </w:pPr>
    </w:p>
    <w:p>
      <w:pPr>
        <w:pStyle w:val="Heading3"/>
      </w:pPr>
      <w:r>
        <w:rPr>
          <w:b w:val="false"/>
          <w:bCs w:val="false"/>
        </w:rPr>
        <w:t xml:space="preserve">Bottom Line</w:t>
      </w:r>
    </w:p>
    <w:p>
      <w:pPr>
        <w:spacing w:after="200"/>
      </w:pPr>
      <w:r>
        <w:rPr>
          <w:b w:val="false"/>
          <w:bCs w:val="false"/>
        </w:rPr>
        <w:t xml:space="preserve">Bellwood &amp; Cole does not have a technology problem; it has a </w:t>
      </w:r>
      <w:r>
        <w:rPr>
          <w:b/>
          <w:bCs/>
        </w:rPr>
        <w:t xml:space="preserve">sequencing and permission</w:t>
      </w:r>
      <w:r>
        <w:rPr>
          <w:b w:val="false"/>
          <w:bCs w:val="false"/>
        </w:rPr>
        <w:t xml:space="preserve"> problem. The firm's ledger data is clean, its workload is highly automatable, and it already has two willing internal champions — assets many firms this size lack. What's missing is a one-page policy that gives staff permission to act, a partner-facing pilot sequence that turns skepticism into sign-off authority rather than a blocker, and a one-time intake audit that determines whether receipt automation is ready to deploy or needs a channel-consolidation step first. None of these fixes cost money, and all three can be completed inside the first two weeks — which means the tool shortlist and 90-day roadmap that follow this section can assume a genuinely ready organization, not a hypothetical one.</w:t>
      </w:r>
    </w:p>
    <w:p>
      <w:pPr>
        <w:pStyle w:val="Heading1"/>
      </w:pPr>
      <w:r>
        <w:t xml:space="preserve">Use-case prioritization</w:t>
      </w:r>
    </w:p>
    <w:p>
      <w:pPr>
        <w:pStyle w:val="Heading3"/>
      </w:pPr>
      <w:r>
        <w:rPr>
          <w:b w:val="false"/>
          <w:bCs w:val="false"/>
        </w:rPr>
        <w:t xml:space="preserve">Use-Case Prioritization</w:t>
      </w:r>
    </w:p>
    <w:p>
      <w:pPr>
        <w:spacing w:after="200"/>
      </w:pPr>
      <w:r>
        <w:rPr>
          <w:b w:val="false"/>
          <w:bCs w:val="false"/>
        </w:rPr>
        <w:t xml:space="preserve">This section translates the readiness assessment and impact/effort analysis above into a decision Bellwood &amp; Cole's partners can act on directly: which use case gets budget and staff time first, second, and third, and exactly what "done" looks like for each. The three candidate use cases — transaction categorization, receipt/invoice data-entry automation, and client report drafting — plus the stretch use case of onboarding acceleration, are ranked using a weighted scoring model rather than a single metric, because the firm's own numbers show that time savings alone would produce the wrong sequencing decision.</w:t>
      </w:r>
    </w:p>
    <w:p>
      <w:pPr>
        <w:pStyle w:val="Heading3"/>
      </w:pPr>
      <w:r>
        <w:rPr>
          <w:b w:val="false"/>
          <w:bCs w:val="false"/>
        </w:rPr>
        <w:t xml:space="preserve">Why a Single Metric Fails Here</w:t>
      </w:r>
    </w:p>
    <w:p>
      <w:pPr>
        <w:spacing w:after="200"/>
      </w:pPr>
      <w:r>
        <w:rPr>
          <w:b w:val="false"/>
          <w:bCs w:val="false"/>
        </w:rPr>
        <w:t xml:space="preserve">If Bellwood &amp; Cole ranked purely on projected hours saved, receipt/invoice automation would edge out categorization on percentage basis (50–70% vs. 25–40% reduction) but categorization still wins on absolute hours (4.5–7.2 vs. 5.0–7.0 — close enough that time savings alone doesn't clearly separate them). Meanwhile, report drafting would rank last on raw hours (2.4–3.6) despite being the only use case with zero governance risk and the only one capable of directly resolving the skeptical partner's stated objection. A pure time-savings ranking would push the firm toward the two highest-risk workflows first and leave the lowest-risk, trust-building workflow for later — precisely backwards given that the intake identifies partner-level skepticism as a real adoption risk, not a minor friction.</w:t>
      </w:r>
    </w:p>
    <w:p>
      <w:pPr>
        <w:pStyle w:val="Heading3"/>
      </w:pPr>
      <w:r>
        <w:rPr>
          <w:b w:val="false"/>
          <w:bCs w:val="false"/>
        </w:rPr>
        <w:t xml:space="preserve">Weighted Prioritization Model</w:t>
      </w:r>
    </w:p>
    <w:p>
      <w:pPr>
        <w:spacing w:after="200"/>
      </w:pPr>
      <w:r>
        <w:rPr>
          <w:b w:val="false"/>
          <w:bCs w:val="false"/>
        </w:rPr>
        <w:t xml:space="preserve">Four factors are weighted according to what actually determines success at this firm, based on the intake: time-savings potential toward the 15-hour target (35%), governance/risk exposure given the healthcare/legal client base (25%), organizational trust-building value given the identified skeptic and champions (20%), and implementation feasibility within the $1,500–$2,000/month budget and current data state (20%).</w:t>
      </w:r>
    </w:p>
    <w:tbl>
      <w:tblPr>
        <w:tblW w:type="pct" w:w="100%"/>
        <w:tblBorders>
          <w:top w:val="single" w:color="auto" w:sz="4"/>
          <w:left w:val="single" w:color="auto" w:sz="4"/>
          <w:bottom w:val="single" w:color="auto" w:sz="4"/>
          <w:right w:val="single" w:color="auto" w:sz="4"/>
          <w:insideH w:val="single" w:color="auto" w:sz="4"/>
          <w:insideV w:val="single" w:color="auto" w:sz="4"/>
        </w:tblBorders>
      </w:tblPr>
      <w:tblGrid>
        <w:gridCol w:w="100"/>
        <w:gridCol w:w="100"/>
        <w:gridCol w:w="100"/>
        <w:gridCol w:w="100"/>
        <w:gridCol w:w="100"/>
        <w:gridCol w:w="100"/>
      </w:tblGrid>
      <w:tr>
        <w:tc>
          <w:p>
            <w:r>
              <w:rPr>
                <w:b/>
                <w:bCs/>
              </w:rPr>
              <w:t xml:space="preserve">Use case</w:t>
            </w:r>
          </w:p>
        </w:tc>
        <w:tc>
          <w:p>
            <w:r>
              <w:rPr>
                <w:b/>
                <w:bCs/>
              </w:rPr>
              <w:t xml:space="preserve">Time savings (35%)</w:t>
            </w:r>
          </w:p>
        </w:tc>
        <w:tc>
          <w:p>
            <w:r>
              <w:rPr>
                <w:b/>
                <w:bCs/>
              </w:rPr>
              <w:t xml:space="preserve">Governance risk (25%, lower=better)</w:t>
            </w:r>
          </w:p>
        </w:tc>
        <w:tc>
          <w:p>
            <w:r>
              <w:rPr>
                <w:b/>
                <w:bCs/>
              </w:rPr>
              <w:t xml:space="preserve">Trust-building value (20%)</w:t>
            </w:r>
          </w:p>
        </w:tc>
        <w:tc>
          <w:p>
            <w:r>
              <w:rPr>
                <w:b/>
                <w:bCs/>
              </w:rPr>
              <w:t xml:space="preserve">Feasibility (20%)</w:t>
            </w:r>
          </w:p>
        </w:tc>
        <w:tc>
          <w:p>
            <w:r>
              <w:rPr>
                <w:b/>
                <w:bCs/>
              </w:rPr>
              <w:t xml:space="preserve">Weighted score (/5)</w:t>
            </w:r>
          </w:p>
        </w:tc>
      </w:tr>
      <w:tr>
        <w:tc>
          <w:p>
            <w:r>
              <w:rPr>
                <w:b w:val="false"/>
                <w:bCs w:val="false"/>
              </w:rPr>
              <w:t xml:space="preserve">Transaction categorization</w:t>
            </w:r>
          </w:p>
        </w:tc>
        <w:tc>
          <w:p>
            <w:r>
              <w:rPr>
                <w:b w:val="false"/>
                <w:bCs w:val="false"/>
              </w:rPr>
              <w:t xml:space="preserve">4.5 (18 hrs base, largest absolute pool)</w:t>
            </w:r>
          </w:p>
        </w:tc>
        <w:tc>
          <w:p>
            <w:r>
              <w:rPr>
                <w:b w:val="false"/>
                <w:bCs w:val="false"/>
              </w:rPr>
              <w:t xml:space="preserve">2.5 (touches live client bank data)</w:t>
            </w:r>
          </w:p>
        </w:tc>
        <w:tc>
          <w:p>
            <w:r>
              <w:rPr>
                <w:b w:val="false"/>
                <w:bCs w:val="false"/>
              </w:rPr>
              <w:t xml:space="preserve">3.0 (broad team reach, not partner-facing)</w:t>
            </w:r>
          </w:p>
        </w:tc>
        <w:tc>
          <w:p>
            <w:r>
              <w:rPr>
                <w:b w:val="false"/>
                <w:bCs w:val="false"/>
              </w:rPr>
              <w:t xml:space="preserve">3.5 (needs SOC 2 vendor + policy first)</w:t>
            </w:r>
          </w:p>
        </w:tc>
        <w:tc>
          <w:p>
            <w:r>
              <w:rPr>
                <w:b/>
                <w:bCs/>
              </w:rPr>
              <w:t xml:space="preserve">3.55</w:t>
            </w:r>
          </w:p>
        </w:tc>
      </w:tr>
      <w:tr>
        <w:tc>
          <w:p>
            <w:r>
              <w:rPr>
                <w:b w:val="false"/>
                <w:bCs w:val="false"/>
              </w:rPr>
              <w:t xml:space="preserve">Report drafting (internal-first)</w:t>
            </w:r>
          </w:p>
        </w:tc>
        <w:tc>
          <w:p>
            <w:r>
              <w:rPr>
                <w:b w:val="false"/>
                <w:bCs w:val="false"/>
              </w:rPr>
              <w:t xml:space="preserve">2.5 (smallest pool: 6 hrs base)</w:t>
            </w:r>
          </w:p>
        </w:tc>
        <w:tc>
          <w:p>
            <w:r>
              <w:rPr>
                <w:b w:val="false"/>
                <w:bCs w:val="false"/>
              </w:rPr>
              <w:t xml:space="preserve">4.5 (no client data exposure if kept internal)</w:t>
            </w:r>
          </w:p>
        </w:tc>
        <w:tc>
          <w:p>
            <w:r>
              <w:rPr>
                <w:b w:val="false"/>
                <w:bCs w:val="false"/>
              </w:rPr>
              <w:t xml:space="preserve">5.0 (directly answers skeptical partner)</w:t>
            </w:r>
          </w:p>
        </w:tc>
        <w:tc>
          <w:p>
            <w:r>
              <w:rPr>
                <w:b w:val="false"/>
                <w:bCs w:val="false"/>
              </w:rPr>
              <w:t xml:space="preserve">4.5 (works with existing QBO/Xero exports, low integration lift)</w:t>
            </w:r>
          </w:p>
        </w:tc>
        <w:tc>
          <w:p>
            <w:r>
              <w:rPr>
                <w:b/>
                <w:bCs/>
              </w:rPr>
              <w:t xml:space="preserve">3.83</w:t>
            </w:r>
          </w:p>
        </w:tc>
      </w:tr>
      <w:tr>
        <w:tc>
          <w:p>
            <w:r>
              <w:rPr>
                <w:b w:val="false"/>
                <w:bCs w:val="false"/>
              </w:rPr>
              <w:t xml:space="preserve">Receipt/invoice data entry</w:t>
            </w:r>
          </w:p>
        </w:tc>
        <w:tc>
          <w:p>
            <w:r>
              <w:rPr>
                <w:b w:val="false"/>
                <w:bCs w:val="false"/>
              </w:rPr>
              <w:t xml:space="preserve">4.0 (highest % reduction, 10 hrs base)</w:t>
            </w:r>
          </w:p>
        </w:tc>
        <w:tc>
          <w:p>
            <w:r>
              <w:rPr>
                <w:b w:val="false"/>
                <w:bCs w:val="false"/>
              </w:rPr>
              <w:t xml:space="preserve">3.0 (touches documents, not live bank feeds)</w:t>
            </w:r>
          </w:p>
        </w:tc>
        <w:tc>
          <w:p>
            <w:r>
              <w:rPr>
                <w:b w:val="false"/>
                <w:bCs w:val="false"/>
              </w:rPr>
              <w:t xml:space="preserve">2.5 (limited visibility to partners/clients)</w:t>
            </w:r>
          </w:p>
        </w:tc>
        <w:tc>
          <w:p>
            <w:r>
              <w:rPr>
                <w:b w:val="false"/>
                <w:bCs w:val="false"/>
              </w:rPr>
              <w:t xml:space="preserve">2.5 (blocked by intake-channel fragmentation)</w:t>
            </w:r>
          </w:p>
        </w:tc>
        <w:tc>
          <w:p>
            <w:r>
              <w:rPr>
                <w:b/>
                <w:bCs/>
              </w:rPr>
              <w:t xml:space="preserve">3.28</w:t>
            </w:r>
          </w:p>
        </w:tc>
      </w:tr>
      <w:tr>
        <w:tc>
          <w:p>
            <w:r>
              <w:rPr>
                <w:b w:val="false"/>
                <w:bCs w:val="false"/>
              </w:rPr>
              <w:t xml:space="preserve">Onboarding/COA speed-up</w:t>
            </w:r>
          </w:p>
        </w:tc>
        <w:tc>
          <w:p>
            <w:r>
              <w:rPr>
                <w:b w:val="false"/>
                <w:bCs w:val="false"/>
              </w:rPr>
              <w:t xml:space="preserve">1.5 (unquantified baseline)</w:t>
            </w:r>
          </w:p>
        </w:tc>
        <w:tc>
          <w:p>
            <w:r>
              <w:rPr>
                <w:b w:val="false"/>
                <w:bCs w:val="false"/>
              </w:rPr>
              <w:t xml:space="preserve">3.0 (moderate — new client setup, less standardized)</w:t>
            </w:r>
          </w:p>
        </w:tc>
        <w:tc>
          <w:p>
            <w:r>
              <w:rPr>
                <w:b w:val="false"/>
                <w:bCs w:val="false"/>
              </w:rPr>
              <w:t xml:space="preserve">2.0 (low visibility)</w:t>
            </w:r>
          </w:p>
        </w:tc>
        <w:tc>
          <w:p>
            <w:r>
              <w:rPr>
                <w:b w:val="false"/>
                <w:bCs w:val="false"/>
              </w:rPr>
              <w:t xml:space="preserve">2.5 (variable per client, harder to templatize)</w:t>
            </w:r>
          </w:p>
        </w:tc>
        <w:tc>
          <w:p>
            <w:r>
              <w:rPr>
                <w:b/>
                <w:bCs/>
              </w:rPr>
              <w:t xml:space="preserve">2.15</w:t>
            </w:r>
          </w:p>
        </w:tc>
      </w:tr>
    </w:tbl>
    <w:p>
      <w:pPr>
        <w:spacing w:after="120"/>
      </w:pPr>
    </w:p>
    <w:p>
      <w:pPr>
        <w:spacing w:after="200"/>
      </w:pPr>
      <w:r>
        <w:rPr>
          <w:b/>
          <w:bCs/>
        </w:rPr>
        <w:t xml:space="preserve">Resulting priority order: (1) Report drafting, (2) Transaction categorization, (3) Receipt/invoice automation, (4) Onboarding acceleration (deferred beyond 90 days).</w:t>
      </w:r>
    </w:p>
    <w:p>
      <w:pPr>
        <w:spacing w:after="200"/>
      </w:pPr>
      <w:r>
        <w:rPr>
          <w:b w:val="false"/>
          <w:bCs w:val="false"/>
        </w:rPr>
        <w:t xml:space="preserve">This is a deliberate reversal of the "biggest number first" instinct, and it changes the sequencing recommendation from the findings section in one important way: report drafting should be the </w:t>
      </w:r>
      <w:r>
        <w:rPr>
          <w:b/>
          <w:bCs/>
        </w:rPr>
        <w:t xml:space="preserve">first</w:t>
      </w:r>
      <w:r>
        <w:rPr>
          <w:b w:val="false"/>
          <w:bCs w:val="false"/>
        </w:rPr>
        <w:t xml:space="preserve"> thing piloted, not a parallel track started alongside categorization — because its near-zero governance risk and direct relevance to the skeptical partner's stated concern make it the fastest path to organizational permission for everything that follows. Categorization remains the largest absolute time-savings lever and should launch within 2–3 weeks of report drafting, once the governance policy (from the readiness assessment) is ratified.</w:t>
      </w:r>
    </w:p>
    <w:p>
      <w:pPr>
        <w:pStyle w:val="Heading3"/>
      </w:pPr>
      <w:r>
        <w:rPr>
          <w:b w:val="false"/>
          <w:bCs w:val="false"/>
        </w:rPr>
        <w:t xml:space="preserve">Use Case 1: Report Drafting Automation (Priority 1)</w:t>
      </w:r>
    </w:p>
    <w:p>
      <w:pPr>
        <w:spacing w:after="200"/>
      </w:pPr>
      <w:r>
        <w:rPr>
          <w:b/>
          <w:bCs/>
        </w:rPr>
        <w:t xml:space="preserve">What:</w:t>
      </w:r>
      <w:r>
        <w:rPr>
          <w:b w:val="false"/>
          <w:bCs w:val="false"/>
        </w:rPr>
        <w:t xml:space="preserve"> An AI tool or workflow that pulls month-end data already sitting in QBO/Xero and produces a first-draft client summary — narrative commentary on cash flow, notable variances, and category trends — that an account manager or partner edits before sending.</w:t>
      </w:r>
    </w:p>
    <w:p>
      <w:pPr>
        <w:spacing w:after="200"/>
      </w:pPr>
      <w:r>
        <w:rPr>
          <w:b/>
          <w:bCs/>
        </w:rPr>
        <w:t xml:space="preserve">Who owns it:</w:t>
      </w:r>
      <w:r>
        <w:rPr>
          <w:b w:val="false"/>
          <w:bCs w:val="false"/>
        </w:rPr>
        <w:t xml:space="preserve"> The ops-focused partner sponsors it; the 4 account managers are the primary users (they currently own the 6 hrs/week of report formatting); the skeptical partner is assigned as designated reviewer for the pilot cohort of clients.</w:t>
      </w:r>
    </w:p>
    <w:p>
      <w:pPr>
        <w:spacing w:after="200"/>
      </w:pPr>
      <w:r>
        <w:rPr>
          <w:b/>
          <w:bCs/>
        </w:rPr>
        <w:t xml:space="preserve">How:</w:t>
      </w:r>
      <w:r>
        <w:rPr>
          <w:b w:val="false"/>
          <w:bCs w:val="false"/>
        </w:rPr>
        <w:t xml:space="preserve"> Start with 3–5 clients across a mix of complexity (not the easiest 3, to get a realistic accuracy read). Export standard QBO/Xero month-end reports, feed them into the drafting tool, have the assigned account manager compare AI draft against what they would have written manually, and log discrepancies. No client sees AI-authored content until the skeptical partner has reviewed at least 8–10 draft cycles and signed off.</w:t>
      </w:r>
    </w:p>
    <w:p>
      <w:pPr>
        <w:spacing w:after="200"/>
      </w:pPr>
      <w:r>
        <w:rPr>
          <w:b/>
          <w:bCs/>
        </w:rPr>
        <w:t xml:space="preserve">Effort:</w:t>
      </w:r>
      <w:r>
        <w:rPr>
          <w:b w:val="false"/>
          <w:bCs w:val="false"/>
        </w:rPr>
        <w:t xml:space="preserve"> Low. No new client data connections required if reports are generated from data account managers already export manually; roughly 4–6 hours of setup (template/prompt configuration) plus 1 hour/week of review logging during the 4-week pilot.</w:t>
      </w:r>
    </w:p>
    <w:p>
      <w:pPr>
        <w:spacing w:after="200"/>
      </w:pPr>
      <w:r>
        <w:rPr>
          <w:b/>
          <w:bCs/>
        </w:rPr>
        <w:t xml:space="preserve">Expected impact:</w:t>
      </w:r>
      <w:r>
        <w:rPr>
          <w:b w:val="false"/>
          <w:bCs w:val="false"/>
        </w:rPr>
        <w:t xml:space="preserve"> 2.4–3.6 hrs/week once scaled across all clients (per the projection in the findings section), but the more important near-term impact is qualitative: this is the vehicle for converting the skeptical partner from blocker to gatekeeper, which unlocks every subsequent use case.</w:t>
      </w:r>
    </w:p>
    <w:p>
      <w:pPr>
        <w:spacing w:after="200"/>
      </w:pPr>
      <w:r>
        <w:rPr>
          <w:b/>
          <w:bCs/>
        </w:rPr>
        <w:t xml:space="preserve">Success metric for go/no-go at day 30:</w:t>
      </w:r>
      <w:r>
        <w:rPr>
          <w:b w:val="false"/>
          <w:bCs w:val="false"/>
        </w:rPr>
        <w:t xml:space="preserve"> ≥80% of AI drafts require only minor edits (not rewrites) as judged by the reviewing partner, and the skeptical partner explicitly signs off on scaling beyond the pilot cohort.</w:t>
      </w:r>
    </w:p>
    <w:p>
      <w:pPr>
        <w:pStyle w:val="Heading3"/>
      </w:pPr>
      <w:r>
        <w:rPr>
          <w:b w:val="false"/>
          <w:bCs w:val="false"/>
        </w:rPr>
        <w:t xml:space="preserve">Use Case 2: Transaction Categorization Automation (Priority 2)</w:t>
      </w:r>
    </w:p>
    <w:p>
      <w:pPr>
        <w:spacing w:after="200"/>
      </w:pPr>
      <w:r>
        <w:rPr>
          <w:b/>
          <w:bCs/>
        </w:rPr>
        <w:t xml:space="preserve">What:</w:t>
      </w:r>
      <w:r>
        <w:rPr>
          <w:b w:val="false"/>
          <w:bCs w:val="false"/>
        </w:rPr>
        <w:t xml:space="preserve"> A SOC 2-attested, QBO/Xero-integrated categorization tool that auto-codes routine transactions against learned or rules-based client-specific patterns, with staff accountants reviewing and correcting exceptions rather than coding from scratch.</w:t>
      </w:r>
    </w:p>
    <w:p>
      <w:pPr>
        <w:spacing w:after="200"/>
      </w:pPr>
      <w:r>
        <w:rPr>
          <w:b/>
          <w:bCs/>
        </w:rPr>
        <w:t xml:space="preserve">Who owns it:</w:t>
      </w:r>
      <w:r>
        <w:rPr>
          <w:b w:val="false"/>
          <w:bCs w:val="false"/>
        </w:rPr>
        <w:t xml:space="preserve"> The two "naturally curious" staff accountants, formally named as pilot leads (per the readiness assessment); ops partner approves vendor selection and confirms SOC 2 documentation is on file before any live client data is connected.</w:t>
      </w:r>
    </w:p>
    <w:p>
      <w:pPr>
        <w:spacing w:after="200"/>
      </w:pPr>
      <w:r>
        <w:rPr>
          <w:b/>
          <w:bCs/>
        </w:rPr>
        <w:t xml:space="preserve">How:</w:t>
      </w:r>
      <w:r>
        <w:rPr>
          <w:b w:val="false"/>
          <w:bCs w:val="false"/>
        </w:rPr>
        <w:t xml:space="preserve"> Select 10–15 client files (roughly 20–25% of the book) spanning both QBO (majority) and Xero (~15% of clients) to validate the tool works across both platforms before wider rollout. Pilot leads spend up to 3 hrs/week over 6–8 weeks testing categorization accuracy against manually-coded baselines, documenting exception rates by category type (the "personal vs. business expense" edge cases flagged in the findings section are the ones to watch closely).</w:t>
      </w:r>
    </w:p>
    <w:p>
      <w:pPr>
        <w:spacing w:after="200"/>
      </w:pPr>
      <w:r>
        <w:rPr>
          <w:b/>
          <w:bCs/>
        </w:rPr>
        <w:t xml:space="preserve">Effort:</w:t>
      </w:r>
      <w:r>
        <w:rPr>
          <w:b w:val="false"/>
          <w:bCs w:val="false"/>
        </w:rPr>
        <w:t xml:space="preserve"> Medium. Procurement and SOC 2 verification (1–2 weeks), integration setup per client file (roughly 30–45 min/client for initial connection and rule calibration), plus the 3 hrs/week pilot-lead time over 6–8 weeks.</w:t>
      </w:r>
    </w:p>
    <w:p>
      <w:pPr>
        <w:spacing w:after="200"/>
      </w:pPr>
      <w:r>
        <w:rPr>
          <w:b/>
          <w:bCs/>
        </w:rPr>
        <w:t xml:space="preserve">Expected impact:</w:t>
      </w:r>
      <w:r>
        <w:rPr>
          <w:b w:val="false"/>
          <w:bCs w:val="false"/>
        </w:rPr>
        <w:t xml:space="preserve"> 4.5–7.2 hrs/week once rolled out firm-wide across all client files — the single largest recoverable time pool identified in this engagement, and the workflow most directly tied to the 15-hour objective.</w:t>
      </w:r>
    </w:p>
    <w:p>
      <w:pPr>
        <w:spacing w:after="200"/>
      </w:pPr>
      <w:r>
        <w:rPr>
          <w:b/>
          <w:bCs/>
        </w:rPr>
        <w:t xml:space="preserve">Success metric for go/no-go at week 6:</w:t>
      </w:r>
      <w:r>
        <w:rPr>
          <w:b w:val="false"/>
          <w:bCs w:val="false"/>
        </w:rPr>
        <w:t xml:space="preserve"> exception/miscategorization rate below 15% on pilot client files, and pilot leads report net time savings (not net time neutral once correction time is included) on at least 10 of the 15 pilot files.</w:t>
      </w:r>
    </w:p>
    <w:p>
      <w:pPr>
        <w:pStyle w:val="Heading3"/>
      </w:pPr>
      <w:r>
        <w:rPr>
          <w:b w:val="false"/>
          <w:bCs w:val="false"/>
        </w:rPr>
        <w:t xml:space="preserve">Use Case 3: Receipt/Invoice Data-Entry Automation (Priority 3)</w:t>
      </w:r>
    </w:p>
    <w:p>
      <w:pPr>
        <w:spacing w:after="200"/>
      </w:pPr>
      <w:r>
        <w:rPr>
          <w:b/>
          <w:bCs/>
        </w:rPr>
        <w:t xml:space="preserve">What:</w:t>
      </w:r>
      <w:r>
        <w:rPr>
          <w:b w:val="false"/>
          <w:bCs w:val="false"/>
        </w:rPr>
        <w:t xml:space="preserve"> OCR-based capture tool that ingests receipts/invoices and pre-populates QBO entries, reducing manual keying.</w:t>
      </w:r>
    </w:p>
    <w:p>
      <w:pPr>
        <w:spacing w:after="200"/>
      </w:pPr>
      <w:r>
        <w:rPr>
          <w:b/>
          <w:bCs/>
        </w:rPr>
        <w:t xml:space="preserve">Who owns it:</w:t>
      </w:r>
      <w:r>
        <w:rPr>
          <w:b w:val="false"/>
          <w:bCs w:val="false"/>
        </w:rPr>
        <w:t xml:space="preserve"> The 4 account managers first (they own the client relationship and can drive the intake-channel decision), then handed to bookkeeping staff for daily use once intake is standardized.</w:t>
      </w:r>
    </w:p>
    <w:p>
      <w:pPr>
        <w:spacing w:after="200"/>
      </w:pPr>
      <w:r>
        <w:rPr>
          <w:b/>
          <w:bCs/>
        </w:rPr>
        <w:t xml:space="preserve">How:</w:t>
      </w:r>
      <w:r>
        <w:rPr>
          <w:b w:val="false"/>
          <w:bCs w:val="false"/>
        </w:rPr>
        <w:t xml:space="preserve"> This use case is explicitly </w:t>
      </w:r>
      <w:r>
        <w:rPr>
          <w:b/>
          <w:bCs/>
        </w:rPr>
        <w:t xml:space="preserve">gated</w:t>
      </w:r>
      <w:r>
        <w:rPr>
          <w:b w:val="false"/>
          <w:bCs w:val="false"/>
        </w:rPr>
        <w:t xml:space="preserve">, not immediately actionable — per the readiness assessment, the account managers must complete the client-by-intake-channel audit (roughly 2 hours total) before vendor selection, because deploying OCR against four inconsistent intake formats (Drive uploads, email PDFs/photos, mailed paper) will underperform the 50–70% benchmark reduction. Once the audit determines whether to consolidate clients onto one upload channel or select a tool rated for multi-channel ingestion, procurement can proceed on the same SOC 2-first basis as categorization.</w:t>
      </w:r>
    </w:p>
    <w:p>
      <w:pPr>
        <w:spacing w:after="200"/>
      </w:pPr>
      <w:r>
        <w:rPr>
          <w:b/>
          <w:bCs/>
        </w:rPr>
        <w:t xml:space="preserve">Effort:</w:t>
      </w:r>
      <w:r>
        <w:rPr>
          <w:b w:val="false"/>
          <w:bCs w:val="false"/>
        </w:rPr>
        <w:t xml:space="preserve"> Medium, front-loaded by the audit and potential client communication if channel consolidation is chosen (a client-facing change, requiring account manager outreach — budget 15–20 min per client for a "please upload here going forward" conversation across the affected client segment).</w:t>
      </w:r>
    </w:p>
    <w:p>
      <w:pPr>
        <w:spacing w:after="200"/>
      </w:pPr>
      <w:r>
        <w:rPr>
          <w:b/>
          <w:bCs/>
        </w:rPr>
        <w:t xml:space="preserve">Expected impact:</w:t>
      </w:r>
      <w:r>
        <w:rPr>
          <w:b w:val="false"/>
          <w:bCs w:val="false"/>
        </w:rPr>
        <w:t xml:space="preserve"> 5.0–7.0 hrs/week once intake is standardized and the tool is deployed — the highest percentage reduction of the three core use cases, but realized later in the 90-day window because of the prerequisite work.</w:t>
      </w:r>
    </w:p>
    <w:p>
      <w:pPr>
        <w:spacing w:after="200"/>
      </w:pPr>
      <w:r>
        <w:rPr>
          <w:b/>
          <w:bCs/>
        </w:rPr>
        <w:t xml:space="preserve">Success metric for go/no-go:</w:t>
      </w:r>
      <w:r>
        <w:rPr>
          <w:b w:val="false"/>
          <w:bCs w:val="false"/>
        </w:rPr>
        <w:t xml:space="preserve"> intake audit complete and channel decision made by week 6; if consolidation is chosen, ≥70% of active clients migrated to the standardized channel by week 10, ahead of full tool rollout.</w:t>
      </w:r>
    </w:p>
    <w:p>
      <w:pPr>
        <w:pStyle w:val="Heading3"/>
      </w:pPr>
      <w:r>
        <w:rPr>
          <w:b w:val="false"/>
          <w:bCs w:val="false"/>
        </w:rPr>
        <w:t xml:space="preserve">Use Case 4: Onboarding/Chart-of-Accounts Acceleration (Deferred)</w:t>
      </w:r>
    </w:p>
    <w:p>
      <w:pPr>
        <w:spacing w:after="200"/>
      </w:pPr>
      <w:r>
        <w:rPr>
          <w:b w:val="false"/>
          <w:bCs w:val="false"/>
        </w:rPr>
        <w:t xml:space="preserve">This is retained on the roadmap as a stretch goal but explicitly deprioritized for the 90-day window: the intake provides no time baseline for current onboarding effort (unlike the other three, which have precise hours/week), and onboarding workflows vary meaningfully by client complexity, making a standardized tool harder to evaluate on the same terms. </w:t>
      </w:r>
      <w:r>
        <w:rPr>
          <w:b/>
          <w:bCs/>
        </w:rPr>
        <w:t xml:space="preserve">Recommended action now:</w:t>
      </w:r>
      <w:r>
        <w:rPr>
          <w:b w:val="false"/>
          <w:bCs w:val="false"/>
        </w:rPr>
        <w:t xml:space="preserve"> have the ops partner track time spent on the next 5 new-client onboardings over the next quarter to build the missing baseline, so this use case can be properly sized and prioritized in a subsequent phase rather than guessed at.</w:t>
      </w:r>
    </w:p>
    <w:p>
      <w:pPr>
        <w:pStyle w:val="Heading3"/>
      </w:pPr>
      <w:r>
        <w:rPr>
          <w:b w:val="false"/>
          <w:bCs w:val="false"/>
        </w:rPr>
        <w:t xml:space="preserve">Net Effect Against the 15-Hour Objective</w:t>
      </w:r>
    </w:p>
    <w:p>
      <w:pPr>
        <w:spacing w:after="200"/>
      </w:pPr>
      <w:r>
        <w:rPr>
          <w:b w:val="false"/>
          <w:bCs w:val="false"/>
        </w:rPr>
        <w:t xml:space="preserve">Sequencing report drafting first costs the firm nothing in time-savings momentum — it launches in week 1 in parallel with governance policy work — while categorization (weeks 3–4 launch) and receipt automation (weeks 6–10 launch, post-audit) are staged to compound toward the full 11.9–17.8 hrs/week range projected earlier. The prioritization logic here does not sacrifice the time objective for the sake of trust-building; it sequences trust-building to run concurrently with, not instead of, the largest time-savings workstreams, so that by day 90 the firm has live pilots (not just plans) across all three core use cases and a credible internal case, backed by the skeptical partner's own sign-off, for scaling firm-wide in the next phase.</w:t>
      </w:r>
    </w:p>
    <w:p>
      <w:pPr>
        <w:pStyle w:val="Heading1"/>
      </w:pPr>
      <w:r>
        <w:t xml:space="preserve">90-day adoption roadmap</w:t>
      </w:r>
    </w:p>
    <w:p>
      <w:pPr>
        <w:pStyle w:val="Heading3"/>
      </w:pPr>
      <w:r>
        <w:rPr>
          <w:b w:val="false"/>
          <w:bCs w:val="false"/>
        </w:rPr>
        <w:t xml:space="preserve">90-Day Adoption Roadmap</w:t>
      </w:r>
    </w:p>
    <w:p>
      <w:pPr>
        <w:spacing w:after="200"/>
      </w:pPr>
      <w:r>
        <w:rPr>
          <w:b w:val="false"/>
          <w:bCs w:val="false"/>
        </w:rPr>
        <w:t xml:space="preserve">This roadmap sequences the four use cases scored above into three 30-day phases, structured around the Crawl-Walk-Run model referenced in the research section. Each phase specifies who does what, how much time it costs them, and the specific go/no-go gate that must be cleared before moving to the next phase. The sequencing logic follows directly from the prioritization: governance and trust-building lead (Days 1–30), the largest time-savings lever launches once permission exists (Days 15–60), and receipt automation follows its prerequisite audit (Days 30–90). By Day 90, the target is not "tools purchased" but </w:t>
      </w:r>
      <w:r>
        <w:rPr>
          <w:b/>
          <w:bCs/>
        </w:rPr>
        <w:t xml:space="preserve">three live pilots generating documented hours-saved data and a partner-approved path to firm-wide rollout.</w:t>
      </w:r>
    </w:p>
    <w:p>
      <w:pPr>
        <w:pStyle w:val="Heading3"/>
      </w:pPr>
      <w:r>
        <w:rPr>
          <w:b w:val="false"/>
          <w:bCs w:val="false"/>
        </w:rPr>
        <w:t xml:space="preserve">Phase 1: Crawl (Days 1–30) — Governance, Report-Drafting Pilot, Categorization Vendor Selection</w:t>
      </w:r>
    </w:p>
    <w:tbl>
      <w:tblPr>
        <w:tblW w:type="pct" w:w="100%"/>
        <w:tblBorders>
          <w:top w:val="single" w:color="auto" w:sz="4"/>
          <w:left w:val="single" w:color="auto" w:sz="4"/>
          <w:bottom w:val="single" w:color="auto" w:sz="4"/>
          <w:right w:val="single" w:color="auto" w:sz="4"/>
          <w:insideH w:val="single" w:color="auto" w:sz="4"/>
          <w:insideV w:val="single" w:color="auto" w:sz="4"/>
        </w:tblBorders>
      </w:tblPr>
      <w:tblGrid>
        <w:gridCol w:w="100"/>
        <w:gridCol w:w="100"/>
        <w:gridCol w:w="100"/>
        <w:gridCol w:w="100"/>
        <w:gridCol w:w="100"/>
      </w:tblGrid>
      <w:tr>
        <w:tc>
          <w:p>
            <w:r>
              <w:rPr>
                <w:b/>
                <w:bCs/>
              </w:rPr>
              <w:t xml:space="preserve">Week</w:t>
            </w:r>
          </w:p>
        </w:tc>
        <w:tc>
          <w:p>
            <w:r>
              <w:rPr>
                <w:b/>
                <w:bCs/>
              </w:rPr>
              <w:t xml:space="preserve">Action</w:t>
            </w:r>
          </w:p>
        </w:tc>
        <w:tc>
          <w:p>
            <w:r>
              <w:rPr>
                <w:b/>
                <w:bCs/>
              </w:rPr>
              <w:t xml:space="preserve">Owner</w:t>
            </w:r>
          </w:p>
        </w:tc>
        <w:tc>
          <w:p>
            <w:r>
              <w:rPr>
                <w:b/>
                <w:bCs/>
              </w:rPr>
              <w:t xml:space="preserve">Effort</w:t>
            </w:r>
          </w:p>
        </w:tc>
        <w:tc>
          <w:p>
            <w:r>
              <w:rPr>
                <w:b/>
                <w:bCs/>
              </w:rPr>
              <w:t xml:space="preserve">Deliverable</w:t>
            </w:r>
          </w:p>
        </w:tc>
      </w:tr>
      <w:tr>
        <w:tc>
          <w:p>
            <w:r>
              <w:rPr>
                <w:b w:val="false"/>
                <w:bCs w:val="false"/>
              </w:rPr>
              <w:t xml:space="preserve">1</w:t>
            </w:r>
          </w:p>
        </w:tc>
        <w:tc>
          <w:p>
            <w:r>
              <w:rPr>
                <w:b w:val="false"/>
                <w:bCs w:val="false"/>
              </w:rPr>
              <w:t xml:space="preserve">Draft and ratify one-page AI Data Handling Policy</w:t>
            </w:r>
          </w:p>
        </w:tc>
        <w:tc>
          <w:p>
            <w:r>
              <w:rPr>
                <w:b w:val="false"/>
                <w:bCs w:val="false"/>
              </w:rPr>
              <w:t xml:space="preserve">Ops-focused partner</w:t>
            </w:r>
          </w:p>
        </w:tc>
        <w:tc>
          <w:p>
            <w:r>
              <w:rPr>
                <w:b w:val="false"/>
                <w:bCs w:val="false"/>
              </w:rPr>
              <w:t xml:space="preserve">3–4 hrs drafting + 1 partner meeting</w:t>
            </w:r>
          </w:p>
        </w:tc>
        <w:tc>
          <w:p>
            <w:r>
              <w:rPr>
                <w:b w:val="false"/>
                <w:bCs w:val="false"/>
              </w:rPr>
              <w:t xml:space="preserve">Signed policy document; named internal AI point of contact</w:t>
            </w:r>
          </w:p>
        </w:tc>
      </w:tr>
      <w:tr>
        <w:tc>
          <w:p>
            <w:r>
              <w:rPr>
                <w:b w:val="false"/>
                <w:bCs w:val="false"/>
              </w:rPr>
              <w:t xml:space="preserve">1</w:t>
            </w:r>
          </w:p>
        </w:tc>
        <w:tc>
          <w:p>
            <w:r>
              <w:rPr>
                <w:b w:val="false"/>
                <w:bCs w:val="false"/>
              </w:rPr>
              <w:t xml:space="preserve">Brief skeptical partner and assign as designated reviewer for report-drafting pilot</w:t>
            </w:r>
          </w:p>
        </w:tc>
        <w:tc>
          <w:p>
            <w:r>
              <w:rPr>
                <w:b w:val="false"/>
                <w:bCs w:val="false"/>
              </w:rPr>
              <w:t xml:space="preserve">Ops partner</w:t>
            </w:r>
          </w:p>
        </w:tc>
        <w:tc>
          <w:p>
            <w:r>
              <w:rPr>
                <w:b w:val="false"/>
                <w:bCs w:val="false"/>
              </w:rPr>
              <w:t xml:space="preserve">30-min meeting</w:t>
            </w:r>
          </w:p>
        </w:tc>
        <w:tc>
          <w:p>
            <w:r>
              <w:rPr>
                <w:b w:val="false"/>
                <w:bCs w:val="false"/>
              </w:rPr>
              <w:t xml:space="preserve">Skeptical partner formally in the reviewer seat, not a bystander</w:t>
            </w:r>
          </w:p>
        </w:tc>
      </w:tr>
      <w:tr>
        <w:tc>
          <w:p>
            <w:r>
              <w:rPr>
                <w:b w:val="false"/>
                <w:bCs w:val="false"/>
              </w:rPr>
              <w:t xml:space="preserve">1</w:t>
            </w:r>
          </w:p>
        </w:tc>
        <w:tc>
          <w:p>
            <w:r>
              <w:rPr>
                <w:b w:val="false"/>
                <w:bCs w:val="false"/>
              </w:rPr>
              <w:t xml:space="preserve">Name two curious staff accountants as categorization pilot leads, in writing</w:t>
            </w:r>
          </w:p>
        </w:tc>
        <w:tc>
          <w:p>
            <w:r>
              <w:rPr>
                <w:b w:val="false"/>
                <w:bCs w:val="false"/>
              </w:rPr>
              <w:t xml:space="preserve">Ops partner</w:t>
            </w:r>
          </w:p>
        </w:tc>
        <w:tc>
          <w:p>
            <w:r>
              <w:rPr>
                <w:b w:val="false"/>
                <w:bCs w:val="false"/>
              </w:rPr>
              <w:t xml:space="preserve">15 min</w:t>
            </w:r>
          </w:p>
        </w:tc>
        <w:tc>
          <w:p>
            <w:r>
              <w:rPr>
                <w:b w:val="false"/>
                <w:bCs w:val="false"/>
              </w:rPr>
              <w:t xml:space="preserve">Written designation; 3 hrs/week pilot time authorized</w:t>
            </w:r>
          </w:p>
        </w:tc>
      </w:tr>
      <w:tr>
        <w:tc>
          <w:p>
            <w:r>
              <w:rPr>
                <w:b w:val="false"/>
                <w:bCs w:val="false"/>
              </w:rPr>
              <w:t xml:space="preserve">1–2</w:t>
            </w:r>
          </w:p>
        </w:tc>
        <w:tc>
          <w:p>
            <w:r>
              <w:rPr>
                <w:b w:val="false"/>
                <w:bCs w:val="false"/>
              </w:rPr>
              <w:t xml:space="preserve">Select 3–5 clients (mixed complexity) for report-drafting pilot</w:t>
            </w:r>
          </w:p>
        </w:tc>
        <w:tc>
          <w:p>
            <w:r>
              <w:rPr>
                <w:b w:val="false"/>
                <w:bCs w:val="false"/>
              </w:rPr>
              <w:t xml:space="preserve">Account managers + ops partner</w:t>
            </w:r>
          </w:p>
        </w:tc>
        <w:tc>
          <w:p>
            <w:r>
              <w:rPr>
                <w:b w:val="false"/>
                <w:bCs w:val="false"/>
              </w:rPr>
              <w:t xml:space="preserve">2 hrs</w:t>
            </w:r>
          </w:p>
        </w:tc>
        <w:tc>
          <w:p>
            <w:r>
              <w:rPr>
                <w:b w:val="false"/>
                <w:bCs w:val="false"/>
              </w:rPr>
              <w:t xml:space="preserve">Pilot client list finalized</w:t>
            </w:r>
          </w:p>
        </w:tc>
      </w:tr>
      <w:tr>
        <w:tc>
          <w:p>
            <w:r>
              <w:rPr>
                <w:b w:val="false"/>
                <w:bCs w:val="false"/>
              </w:rPr>
              <w:t xml:space="preserve">2</w:t>
            </w:r>
          </w:p>
        </w:tc>
        <w:tc>
          <w:p>
            <w:r>
              <w:rPr>
                <w:b w:val="false"/>
                <w:bCs w:val="false"/>
              </w:rPr>
              <w:t xml:space="preserve">Configure report-drafting tool/template against QBO/Xero exports</w:t>
            </w:r>
          </w:p>
        </w:tc>
        <w:tc>
          <w:p>
            <w:r>
              <w:rPr>
                <w:b w:val="false"/>
                <w:bCs w:val="false"/>
              </w:rPr>
              <w:t xml:space="preserve">Account managers</w:t>
            </w:r>
          </w:p>
        </w:tc>
        <w:tc>
          <w:p>
            <w:r>
              <w:rPr>
                <w:b w:val="false"/>
                <w:bCs w:val="false"/>
              </w:rPr>
              <w:t xml:space="preserve">4–6 hrs setup</w:t>
            </w:r>
          </w:p>
        </w:tc>
        <w:tc>
          <w:p>
            <w:r>
              <w:rPr>
                <w:b w:val="false"/>
                <w:bCs w:val="false"/>
              </w:rPr>
              <w:t xml:space="preserve">First AI-drafted report generated internally</w:t>
            </w:r>
          </w:p>
        </w:tc>
      </w:tr>
      <w:tr>
        <w:tc>
          <w:p>
            <w:r>
              <w:rPr>
                <w:b w:val="false"/>
                <w:bCs w:val="false"/>
              </w:rPr>
              <w:t xml:space="preserve">2–4</w:t>
            </w:r>
          </w:p>
        </w:tc>
        <w:tc>
          <w:p>
            <w:r>
              <w:rPr>
                <w:b w:val="false"/>
                <w:bCs w:val="false"/>
              </w:rPr>
              <w:t xml:space="preserve">Run 4 weekly draft cycles; skeptical partner reviews each before any client sees output</w:t>
            </w:r>
          </w:p>
        </w:tc>
        <w:tc>
          <w:p>
            <w:r>
              <w:rPr>
                <w:b w:val="false"/>
                <w:bCs w:val="false"/>
              </w:rPr>
              <w:t xml:space="preserve">Skeptical partner + account managers</w:t>
            </w:r>
          </w:p>
        </w:tc>
        <w:tc>
          <w:p>
            <w:r>
              <w:rPr>
                <w:b w:val="false"/>
                <w:bCs w:val="false"/>
              </w:rPr>
              <w:t xml:space="preserve">1 hr/week review</w:t>
            </w:r>
          </w:p>
        </w:tc>
        <w:tc>
          <w:p>
            <w:r>
              <w:rPr>
                <w:b w:val="false"/>
                <w:bCs w:val="false"/>
              </w:rPr>
              <w:t xml:space="preserve">8–10 logged draft-vs-manual comparisons</w:t>
            </w:r>
          </w:p>
        </w:tc>
      </w:tr>
      <w:tr>
        <w:tc>
          <w:p>
            <w:r>
              <w:rPr>
                <w:b w:val="false"/>
                <w:bCs w:val="false"/>
              </w:rPr>
              <w:t xml:space="preserve">2</w:t>
            </w:r>
          </w:p>
        </w:tc>
        <w:tc>
          <w:p>
            <w:r>
              <w:rPr>
                <w:b w:val="false"/>
                <w:bCs w:val="false"/>
              </w:rPr>
              <w:t xml:space="preserve">Begin SOC 2/equivalent vendor due diligence for categorization tools (see tool shortlist)</w:t>
            </w:r>
          </w:p>
        </w:tc>
        <w:tc>
          <w:p>
            <w:r>
              <w:rPr>
                <w:b w:val="false"/>
                <w:bCs w:val="false"/>
              </w:rPr>
              <w:t xml:space="preserve">Ops partner</w:t>
            </w:r>
          </w:p>
        </w:tc>
        <w:tc>
          <w:p>
            <w:r>
              <w:rPr>
                <w:b w:val="false"/>
                <w:bCs w:val="false"/>
              </w:rPr>
              <w:t xml:space="preserve">3–4 hrs vendor calls/document review</w:t>
            </w:r>
          </w:p>
        </w:tc>
        <w:tc>
          <w:p>
            <w:r>
              <w:rPr>
                <w:b w:val="false"/>
                <w:bCs w:val="false"/>
              </w:rPr>
              <w:t xml:space="preserve">Shortlist narrowed to 1–2 SOC 2-attested finalists</w:t>
            </w:r>
          </w:p>
        </w:tc>
      </w:tr>
      <w:tr>
        <w:tc>
          <w:p>
            <w:r>
              <w:rPr>
                <w:b w:val="false"/>
                <w:bCs w:val="false"/>
              </w:rPr>
              <w:t xml:space="preserve">3–4</w:t>
            </w:r>
          </w:p>
        </w:tc>
        <w:tc>
          <w:p>
            <w:r>
              <w:rPr>
                <w:b w:val="false"/>
                <w:bCs w:val="false"/>
              </w:rPr>
              <w:t xml:space="preserve">Account managers complete client-by-intake-channel audit (Drive/email/photo/mail)</w:t>
            </w:r>
          </w:p>
        </w:tc>
        <w:tc>
          <w:p>
            <w:r>
              <w:rPr>
                <w:b w:val="false"/>
                <w:bCs w:val="false"/>
              </w:rPr>
              <w:t xml:space="preserve">4 account managers</w:t>
            </w:r>
          </w:p>
        </w:tc>
        <w:tc>
          <w:p>
            <w:r>
              <w:rPr>
                <w:b w:val="false"/>
                <w:bCs w:val="false"/>
              </w:rPr>
              <w:t xml:space="preserve">~30 min each (2 hrs total)</w:t>
            </w:r>
          </w:p>
        </w:tc>
        <w:tc>
          <w:p>
            <w:r>
              <w:rPr>
                <w:b w:val="false"/>
                <w:bCs w:val="false"/>
              </w:rPr>
              <w:t xml:space="preserve">Channel audit table complete — feeds Phase 2 receipt-automation gate</w:t>
            </w:r>
          </w:p>
        </w:tc>
      </w:tr>
    </w:tbl>
    <w:p>
      <w:pPr>
        <w:spacing w:after="120"/>
      </w:pPr>
    </w:p>
    <w:p>
      <w:pPr>
        <w:spacing w:after="200"/>
      </w:pPr>
      <w:r>
        <w:rPr>
          <w:b/>
          <w:bCs/>
        </w:rPr>
        <w:t xml:space="preserve">Phase 1 go/no-go gate (Day 30):</w:t>
      </w:r>
      <w:r>
        <w:rPr>
          <w:b w:val="false"/>
          <w:bCs w:val="false"/>
        </w:rPr>
        <w:t xml:space="preserve"> Report-drafting pilot achieves ≥80% "minor edits only" rate as judged by the skeptical partner, who explicitly signs off on scaling. Categorization vendor is selected with SOC 2 Type II (or written equivalent) confirmed on file. If either condition is unmet, Phase 2 categorization rollout is delayed one to two weeks rather than launched on schedule — do not skip the gate to stay on calendar.</w:t>
      </w:r>
    </w:p>
    <w:p>
      <w:pPr>
        <w:spacing w:after="200"/>
      </w:pPr>
      <w:r>
        <w:rPr>
          <w:b/>
          <w:bCs/>
        </w:rPr>
        <w:t xml:space="preserve">Phase 1 cost:</w:t>
      </w:r>
      <w:r>
        <w:rPr>
          <w:b w:val="false"/>
          <w:bCs w:val="false"/>
        </w:rPr>
        <w:t xml:space="preserve"> Effort is almost entirely internal time (roughly 20–25 staff-hours total across partners, account managers, and pilot leads); no new tool spend commits until vendor selection completes at end of Phase 1, keeping the firm within its $1,500–$2,000/month ceiling through the first month.</w:t>
      </w:r>
    </w:p>
    <w:p>
      <w:pPr>
        <w:pStyle w:val="Heading3"/>
      </w:pPr>
      <w:r>
        <w:rPr>
          <w:b w:val="false"/>
          <w:bCs w:val="false"/>
        </w:rPr>
        <w:t xml:space="preserve">Phase 2: Walk (Days 31–60) — Categorization Pilot Launch, Report Drafting Scales, Intake Decision</w:t>
      </w:r>
    </w:p>
    <w:tbl>
      <w:tblPr>
        <w:tblW w:type="pct" w:w="100%"/>
        <w:tblBorders>
          <w:top w:val="single" w:color="auto" w:sz="4"/>
          <w:left w:val="single" w:color="auto" w:sz="4"/>
          <w:bottom w:val="single" w:color="auto" w:sz="4"/>
          <w:right w:val="single" w:color="auto" w:sz="4"/>
          <w:insideH w:val="single" w:color="auto" w:sz="4"/>
          <w:insideV w:val="single" w:color="auto" w:sz="4"/>
        </w:tblBorders>
      </w:tblPr>
      <w:tblGrid>
        <w:gridCol w:w="100"/>
        <w:gridCol w:w="100"/>
        <w:gridCol w:w="100"/>
        <w:gridCol w:w="100"/>
        <w:gridCol w:w="100"/>
      </w:tblGrid>
      <w:tr>
        <w:tc>
          <w:p>
            <w:r>
              <w:rPr>
                <w:b/>
                <w:bCs/>
              </w:rPr>
              <w:t xml:space="preserve">Week</w:t>
            </w:r>
          </w:p>
        </w:tc>
        <w:tc>
          <w:p>
            <w:r>
              <w:rPr>
                <w:b/>
                <w:bCs/>
              </w:rPr>
              <w:t xml:space="preserve">Action</w:t>
            </w:r>
          </w:p>
        </w:tc>
        <w:tc>
          <w:p>
            <w:r>
              <w:rPr>
                <w:b/>
                <w:bCs/>
              </w:rPr>
              <w:t xml:space="preserve">Owner</w:t>
            </w:r>
          </w:p>
        </w:tc>
        <w:tc>
          <w:p>
            <w:r>
              <w:rPr>
                <w:b/>
                <w:bCs/>
              </w:rPr>
              <w:t xml:space="preserve">Effort</w:t>
            </w:r>
          </w:p>
        </w:tc>
        <w:tc>
          <w:p>
            <w:r>
              <w:rPr>
                <w:b/>
                <w:bCs/>
              </w:rPr>
              <w:t xml:space="preserve">Deliverable</w:t>
            </w:r>
          </w:p>
        </w:tc>
      </w:tr>
      <w:tr>
        <w:tc>
          <w:p>
            <w:r>
              <w:rPr>
                <w:b w:val="false"/>
                <w:bCs w:val="false"/>
              </w:rPr>
              <w:t xml:space="preserve">5</w:t>
            </w:r>
          </w:p>
        </w:tc>
        <w:tc>
          <w:p>
            <w:r>
              <w:rPr>
                <w:b w:val="false"/>
                <w:bCs w:val="false"/>
              </w:rPr>
              <w:t xml:space="preserve">Contract selected categorization tool; connect to 10–15 pilot client files (mix of QBO majority, Xero ~15%)</w:t>
            </w:r>
          </w:p>
        </w:tc>
        <w:tc>
          <w:p>
            <w:r>
              <w:rPr>
                <w:b w:val="false"/>
                <w:bCs w:val="false"/>
              </w:rPr>
              <w:t xml:space="preserve">Ops partner + IT/admin support</w:t>
            </w:r>
          </w:p>
        </w:tc>
        <w:tc>
          <w:p>
            <w:r>
              <w:rPr>
                <w:b w:val="false"/>
                <w:bCs w:val="false"/>
              </w:rPr>
              <w:t xml:space="preserve">30–45 min per client for setup/calibration (~6–10 hrs total)</w:t>
            </w:r>
          </w:p>
        </w:tc>
        <w:tc>
          <w:p>
            <w:r>
              <w:rPr>
                <w:b w:val="false"/>
                <w:bCs w:val="false"/>
              </w:rPr>
              <w:t xml:space="preserve">Live connections on pilot file set</w:t>
            </w:r>
          </w:p>
        </w:tc>
      </w:tr>
      <w:tr>
        <w:tc>
          <w:p>
            <w:r>
              <w:rPr>
                <w:b w:val="false"/>
                <w:bCs w:val="false"/>
              </w:rPr>
              <w:t xml:space="preserve">5–10</w:t>
            </w:r>
          </w:p>
        </w:tc>
        <w:tc>
          <w:p>
            <w:r>
              <w:rPr>
                <w:b w:val="false"/>
                <w:bCs w:val="false"/>
              </w:rPr>
              <w:t xml:space="preserve">Pilot leads test categorization accuracy against manual baseline; log exception rates by category type</w:t>
            </w:r>
          </w:p>
        </w:tc>
        <w:tc>
          <w:p>
            <w:r>
              <w:rPr>
                <w:b w:val="false"/>
                <w:bCs w:val="false"/>
              </w:rPr>
              <w:t xml:space="preserve">2 staff-accountant pilot leads</w:t>
            </w:r>
          </w:p>
        </w:tc>
        <w:tc>
          <w:p>
            <w:r>
              <w:rPr>
                <w:b w:val="false"/>
                <w:bCs w:val="false"/>
              </w:rPr>
              <w:t xml:space="preserve">3 hrs/week each for 6 weeks</w:t>
            </w:r>
          </w:p>
        </w:tc>
        <w:tc>
          <w:p>
            <w:r>
              <w:rPr>
                <w:b w:val="false"/>
                <w:bCs w:val="false"/>
              </w:rPr>
              <w:t xml:space="preserve">Biweekly findings report to ops partner</w:t>
            </w:r>
          </w:p>
        </w:tc>
      </w:tr>
      <w:tr>
        <w:tc>
          <w:p>
            <w:r>
              <w:rPr>
                <w:b w:val="false"/>
                <w:bCs w:val="false"/>
              </w:rPr>
              <w:t xml:space="preserve">5</w:t>
            </w:r>
          </w:p>
        </w:tc>
        <w:tc>
          <w:p>
            <w:r>
              <w:rPr>
                <w:b w:val="false"/>
                <w:bCs w:val="false"/>
              </w:rPr>
              <w:t xml:space="preserve">Scale report drafting from pilot cohort (3–5 clients) to full account-manager book</w:t>
            </w:r>
          </w:p>
        </w:tc>
        <w:tc>
          <w:p>
            <w:r>
              <w:rPr>
                <w:b w:val="false"/>
                <w:bCs w:val="false"/>
              </w:rPr>
              <w:t xml:space="preserve">Account managers</w:t>
            </w:r>
          </w:p>
        </w:tc>
        <w:tc>
          <w:p>
            <w:r>
              <w:rPr>
                <w:b w:val="false"/>
                <w:bCs w:val="false"/>
              </w:rPr>
              <w:t xml:space="preserve">2–3 hrs one-time rollout</w:t>
            </w:r>
          </w:p>
        </w:tc>
        <w:tc>
          <w:p>
            <w:r>
              <w:rPr>
                <w:b w:val="false"/>
                <w:bCs w:val="false"/>
              </w:rPr>
              <w:t xml:space="preserve">AI-drafted reports standard practice for month-end, still human-reviewed before send</w:t>
            </w:r>
          </w:p>
        </w:tc>
      </w:tr>
      <w:tr>
        <w:tc>
          <w:p>
            <w:r>
              <w:rPr>
                <w:b w:val="false"/>
                <w:bCs w:val="false"/>
              </w:rPr>
              <w:t xml:space="preserve">6</w:t>
            </w:r>
          </w:p>
        </w:tc>
        <w:tc>
          <w:p>
            <w:r>
              <w:rPr>
                <w:b w:val="false"/>
                <w:bCs w:val="false"/>
              </w:rPr>
              <w:t xml:space="preserve">Decide intake-channel consolidation vs. multi-channel OCR tool, based on Phase 1 audit</w:t>
            </w:r>
          </w:p>
        </w:tc>
        <w:tc>
          <w:p>
            <w:r>
              <w:rPr>
                <w:b w:val="false"/>
                <w:bCs w:val="false"/>
              </w:rPr>
              <w:t xml:space="preserve">Ops partner + account managers</w:t>
            </w:r>
          </w:p>
        </w:tc>
        <w:tc>
          <w:p>
            <w:r>
              <w:rPr>
                <w:b w:val="false"/>
                <w:bCs w:val="false"/>
              </w:rPr>
              <w:t xml:space="preserve">2-hr decision meeting</w:t>
            </w:r>
          </w:p>
        </w:tc>
        <w:tc>
          <w:p>
            <w:r>
              <w:rPr>
                <w:b w:val="false"/>
                <w:bCs w:val="false"/>
              </w:rPr>
              <w:t xml:space="preserve">Written decision + client communication plan if consolidating</w:t>
            </w:r>
          </w:p>
        </w:tc>
      </w:tr>
      <w:tr>
        <w:tc>
          <w:p>
            <w:r>
              <w:rPr>
                <w:b w:val="false"/>
                <w:bCs w:val="false"/>
              </w:rPr>
              <w:t xml:space="preserve">6–8</w:t>
            </w:r>
          </w:p>
        </w:tc>
        <w:tc>
          <w:p>
            <w:r>
              <w:rPr>
                <w:b w:val="false"/>
                <w:bCs w:val="false"/>
              </w:rPr>
              <w:t xml:space="preserve">If consolidating: account managers contact affected clients to migrate to single upload channel</w:t>
            </w:r>
          </w:p>
        </w:tc>
        <w:tc>
          <w:p>
            <w:r>
              <w:rPr>
                <w:b w:val="false"/>
                <w:bCs w:val="false"/>
              </w:rPr>
              <w:t xml:space="preserve">4 account managers</w:t>
            </w:r>
          </w:p>
        </w:tc>
        <w:tc>
          <w:p>
            <w:r>
              <w:rPr>
                <w:b w:val="false"/>
                <w:bCs w:val="false"/>
              </w:rPr>
              <w:t xml:space="preserve">15–20 min per affected client</w:t>
            </w:r>
          </w:p>
        </w:tc>
        <w:tc>
          <w:p>
            <w:r>
              <w:rPr>
                <w:b w:val="false"/>
                <w:bCs w:val="false"/>
              </w:rPr>
              <w:t xml:space="preserve">≥70% of active clients migrated by Day 70</w:t>
            </w:r>
          </w:p>
        </w:tc>
      </w:tr>
      <w:tr>
        <w:tc>
          <w:p>
            <w:r>
              <w:rPr>
                <w:b w:val="false"/>
                <w:bCs w:val="false"/>
              </w:rPr>
              <w:t xml:space="preserve">8</w:t>
            </w:r>
          </w:p>
        </w:tc>
        <w:tc>
          <w:p>
            <w:r>
              <w:rPr>
                <w:b w:val="false"/>
                <w:bCs w:val="false"/>
              </w:rPr>
              <w:t xml:space="preserve">Begin categorization rollout beyond pilot files to next tranche (~30–40% of book)</w:t>
            </w:r>
          </w:p>
        </w:tc>
        <w:tc>
          <w:p>
            <w:r>
              <w:rPr>
                <w:b w:val="false"/>
                <w:bCs w:val="false"/>
              </w:rPr>
              <w:t xml:space="preserve">Pilot leads train remaining bookkeeping staff</w:t>
            </w:r>
          </w:p>
        </w:tc>
        <w:tc>
          <w:p>
            <w:r>
              <w:rPr>
                <w:b w:val="false"/>
                <w:bCs w:val="false"/>
              </w:rPr>
              <w:t xml:space="preserve">1 hr training session + informal Q&amp;A</w:t>
            </w:r>
          </w:p>
        </w:tc>
        <w:tc>
          <w:p>
            <w:r>
              <w:rPr>
                <w:b w:val="false"/>
                <w:bCs w:val="false"/>
              </w:rPr>
              <w:t xml:space="preserve">Second tranche live</w:t>
            </w:r>
          </w:p>
        </w:tc>
      </w:tr>
    </w:tbl>
    <w:p>
      <w:pPr>
        <w:spacing w:after="120"/>
      </w:pPr>
    </w:p>
    <w:p>
      <w:pPr>
        <w:spacing w:after="200"/>
      </w:pPr>
      <w:r>
        <w:rPr>
          <w:b/>
          <w:bCs/>
        </w:rPr>
        <w:t xml:space="preserve">Phase 2 go/no-go gate (Day 60):</w:t>
      </w:r>
      <w:r>
        <w:rPr>
          <w:b w:val="false"/>
          <w:bCs w:val="false"/>
        </w:rPr>
        <w:t xml:space="preserve"> Categorization exception/miscategorization rate below 15% on pilot files, with net time savings (after correction time) confirmed on at least 10 of 15 pilot files. Report drafting is fully adopted firm-wide with no partner objection. Intake-channel decision is made and communicated to clients.</w:t>
      </w:r>
    </w:p>
    <w:p>
      <w:pPr>
        <w:spacing w:after="200"/>
      </w:pPr>
      <w:r>
        <w:rPr>
          <w:b/>
          <w:bCs/>
        </w:rPr>
        <w:t xml:space="preserve">Phase 2 cost:</w:t>
      </w:r>
      <w:r>
        <w:rPr>
          <w:b w:val="false"/>
          <w:bCs w:val="false"/>
        </w:rPr>
        <w:t xml:space="preserve"> This is when tool subscription spend begins in earnest — budget the full $1,500–$2,000/month against the categorization tool plus any receipt-capture tool trial, consistent with the tool shortlist. One-time implementation/setup costs (vendor configuration, staff training) should be treated as the separate one-time project cost the firm indicated willingness to pay, kept outside the monthly ceiling.</w:t>
      </w:r>
    </w:p>
    <w:p>
      <w:pPr>
        <w:pStyle w:val="Heading3"/>
      </w:pPr>
      <w:r>
        <w:rPr>
          <w:b w:val="false"/>
          <w:bCs w:val="false"/>
        </w:rPr>
        <w:t xml:space="preserve">Phase 3: Run (Days 61–90) — Firm-Wide Categorization, Receipt Automation Launch, Baseline for Onboarding</w:t>
      </w:r>
    </w:p>
    <w:tbl>
      <w:tblPr>
        <w:tblW w:type="pct" w:w="100%"/>
        <w:tblBorders>
          <w:top w:val="single" w:color="auto" w:sz="4"/>
          <w:left w:val="single" w:color="auto" w:sz="4"/>
          <w:bottom w:val="single" w:color="auto" w:sz="4"/>
          <w:right w:val="single" w:color="auto" w:sz="4"/>
          <w:insideH w:val="single" w:color="auto" w:sz="4"/>
          <w:insideV w:val="single" w:color="auto" w:sz="4"/>
        </w:tblBorders>
      </w:tblPr>
      <w:tblGrid>
        <w:gridCol w:w="100"/>
        <w:gridCol w:w="100"/>
        <w:gridCol w:w="100"/>
        <w:gridCol w:w="100"/>
        <w:gridCol w:w="100"/>
      </w:tblGrid>
      <w:tr>
        <w:tc>
          <w:p>
            <w:r>
              <w:rPr>
                <w:b/>
                <w:bCs/>
              </w:rPr>
              <w:t xml:space="preserve">Week</w:t>
            </w:r>
          </w:p>
        </w:tc>
        <w:tc>
          <w:p>
            <w:r>
              <w:rPr>
                <w:b/>
                <w:bCs/>
              </w:rPr>
              <w:t xml:space="preserve">Action</w:t>
            </w:r>
          </w:p>
        </w:tc>
        <w:tc>
          <w:p>
            <w:r>
              <w:rPr>
                <w:b/>
                <w:bCs/>
              </w:rPr>
              <w:t xml:space="preserve">Owner</w:t>
            </w:r>
          </w:p>
        </w:tc>
        <w:tc>
          <w:p>
            <w:r>
              <w:rPr>
                <w:b/>
                <w:bCs/>
              </w:rPr>
              <w:t xml:space="preserve">Effort</w:t>
            </w:r>
          </w:p>
        </w:tc>
        <w:tc>
          <w:p>
            <w:r>
              <w:rPr>
                <w:b/>
                <w:bCs/>
              </w:rPr>
              <w:t xml:space="preserve">Deliverable</w:t>
            </w:r>
          </w:p>
        </w:tc>
      </w:tr>
      <w:tr>
        <w:tc>
          <w:p>
            <w:r>
              <w:rPr>
                <w:b w:val="false"/>
                <w:bCs w:val="false"/>
              </w:rPr>
              <w:t xml:space="preserve">9–10</w:t>
            </w:r>
          </w:p>
        </w:tc>
        <w:tc>
          <w:p>
            <w:r>
              <w:rPr>
                <w:b w:val="false"/>
                <w:bCs w:val="false"/>
              </w:rPr>
              <w:t xml:space="preserve">Roll out categorization tool to remaining client files (full 14-person bookkeeping team)</w:t>
            </w:r>
          </w:p>
        </w:tc>
        <w:tc>
          <w:p>
            <w:r>
              <w:rPr>
                <w:b w:val="false"/>
                <w:bCs w:val="false"/>
              </w:rPr>
              <w:t xml:space="preserve">Pilot leads + ops partner</w:t>
            </w:r>
          </w:p>
        </w:tc>
        <w:tc>
          <w:p>
            <w:r>
              <w:rPr>
                <w:b w:val="false"/>
                <w:bCs w:val="false"/>
              </w:rPr>
              <w:t xml:space="preserve">1 hr/staff training + ongoing exception review</w:t>
            </w:r>
          </w:p>
        </w:tc>
        <w:tc>
          <w:p>
            <w:r>
              <w:rPr>
                <w:b w:val="false"/>
                <w:bCs w:val="false"/>
              </w:rPr>
              <w:t xml:space="preserve">Firm-wide categorization live</w:t>
            </w:r>
          </w:p>
        </w:tc>
      </w:tr>
      <w:tr>
        <w:tc>
          <w:p>
            <w:r>
              <w:rPr>
                <w:b w:val="false"/>
                <w:bCs w:val="false"/>
              </w:rPr>
              <w:t xml:space="preserve">9</w:t>
            </w:r>
          </w:p>
        </w:tc>
        <w:tc>
          <w:p>
            <w:r>
              <w:rPr>
                <w:b w:val="false"/>
                <w:bCs w:val="false"/>
              </w:rPr>
              <w:t xml:space="preserve">Deploy receipt/invoice OCR tool per Phase 2 intake decision</w:t>
            </w:r>
          </w:p>
        </w:tc>
        <w:tc>
          <w:p>
            <w:r>
              <w:rPr>
                <w:b w:val="false"/>
                <w:bCs w:val="false"/>
              </w:rPr>
              <w:t xml:space="preserve">Account managers + bookkeeping staff</w:t>
            </w:r>
          </w:p>
        </w:tc>
        <w:tc>
          <w:p>
            <w:r>
              <w:rPr>
                <w:b w:val="false"/>
                <w:bCs w:val="false"/>
              </w:rPr>
              <w:t xml:space="preserve">Setup: 4–6 hrs; ongoing use folded into daily workflow</w:t>
            </w:r>
          </w:p>
        </w:tc>
        <w:tc>
          <w:p>
            <w:r>
              <w:rPr>
                <w:b w:val="false"/>
                <w:bCs w:val="false"/>
              </w:rPr>
              <w:t xml:space="preserve">OCR tool live on migrated/eligible clients</w:t>
            </w:r>
          </w:p>
        </w:tc>
      </w:tr>
      <w:tr>
        <w:tc>
          <w:p>
            <w:r>
              <w:rPr>
                <w:b w:val="false"/>
                <w:bCs w:val="false"/>
              </w:rPr>
              <w:t xml:space="preserve">10–12</w:t>
            </w:r>
          </w:p>
        </w:tc>
        <w:tc>
          <w:p>
            <w:r>
              <w:rPr>
                <w:b w:val="false"/>
                <w:bCs w:val="false"/>
              </w:rPr>
              <w:t xml:space="preserve">Track actual hours saved per workflow against the 34-hr/week baseline; compare to the 11.9–17.8 hr/week projection</w:t>
            </w:r>
          </w:p>
        </w:tc>
        <w:tc>
          <w:p>
            <w:r>
              <w:rPr>
                <w:b w:val="false"/>
                <w:bCs w:val="false"/>
              </w:rPr>
              <w:t xml:space="preserve">Ops partner (data aggregation)</w:t>
            </w:r>
          </w:p>
        </w:tc>
        <w:tc>
          <w:p>
            <w:r>
              <w:rPr>
                <w:b w:val="false"/>
                <w:bCs w:val="false"/>
              </w:rPr>
              <w:t xml:space="preserve">1 hr/week to log staff-reported time</w:t>
            </w:r>
          </w:p>
        </w:tc>
        <w:tc>
          <w:p>
            <w:r>
              <w:rPr>
                <w:b w:val="false"/>
                <w:bCs w:val="false"/>
              </w:rPr>
              <w:t xml:space="preserve">Week-12 hours-saved report</w:t>
            </w:r>
          </w:p>
        </w:tc>
      </w:tr>
      <w:tr>
        <w:tc>
          <w:p>
            <w:r>
              <w:rPr>
                <w:b w:val="false"/>
                <w:bCs w:val="false"/>
              </w:rPr>
              <w:t xml:space="preserve">11</w:t>
            </w:r>
          </w:p>
        </w:tc>
        <w:tc>
          <w:p>
            <w:r>
              <w:rPr>
                <w:b w:val="false"/>
                <w:bCs w:val="false"/>
              </w:rPr>
              <w:t xml:space="preserve">Partners jointly review 90-day results against the 15-hr/week objective</w:t>
            </w:r>
          </w:p>
        </w:tc>
        <w:tc>
          <w:p>
            <w:r>
              <w:rPr>
                <w:b w:val="false"/>
                <w:bCs w:val="false"/>
              </w:rPr>
              <w:t xml:space="preserve">Both partners</w:t>
            </w:r>
          </w:p>
        </w:tc>
        <w:tc>
          <w:p>
            <w:r>
              <w:rPr>
                <w:b w:val="false"/>
                <w:bCs w:val="false"/>
              </w:rPr>
              <w:t xml:space="preserve">1 meeting</w:t>
            </w:r>
          </w:p>
        </w:tc>
        <w:tc>
          <w:p>
            <w:r>
              <w:rPr>
                <w:b w:val="false"/>
                <w:bCs w:val="false"/>
              </w:rPr>
              <w:t xml:space="preserve">Formal decision: scale further, adjust tool mix, or extend pilot</w:t>
            </w:r>
          </w:p>
        </w:tc>
      </w:tr>
      <w:tr>
        <w:tc>
          <w:p>
            <w:r>
              <w:rPr>
                <w:b w:val="false"/>
                <w:bCs w:val="false"/>
              </w:rPr>
              <w:t xml:space="preserve">12</w:t>
            </w:r>
          </w:p>
        </w:tc>
        <w:tc>
          <w:p>
            <w:r>
              <w:rPr>
                <w:b w:val="false"/>
                <w:bCs w:val="false"/>
              </w:rPr>
              <w:t xml:space="preserve">Begin tracking time on next 5 new-client onboardings to build missing baseline for Use Case 4</w:t>
            </w:r>
          </w:p>
        </w:tc>
        <w:tc>
          <w:p>
            <w:r>
              <w:rPr>
                <w:b w:val="false"/>
                <w:bCs w:val="false"/>
              </w:rPr>
              <w:t xml:space="preserve">Ops partner</w:t>
            </w:r>
          </w:p>
        </w:tc>
        <w:tc>
          <w:p>
            <w:r>
              <w:rPr>
                <w:b w:val="false"/>
                <w:bCs w:val="false"/>
              </w:rPr>
              <w:t xml:space="preserve">Ongoing, ~15 min per onboarding to log</w:t>
            </w:r>
          </w:p>
        </w:tc>
        <w:tc>
          <w:p>
            <w:r>
              <w:rPr>
                <w:b w:val="false"/>
                <w:bCs w:val="false"/>
              </w:rPr>
              <w:t xml:space="preserve">Onboarding baseline dataset started for next phase</w:t>
            </w:r>
          </w:p>
        </w:tc>
      </w:tr>
    </w:tbl>
    <w:p>
      <w:pPr>
        <w:spacing w:after="120"/>
      </w:pPr>
    </w:p>
    <w:p>
      <w:pPr>
        <w:spacing w:after="200"/>
      </w:pPr>
      <w:r>
        <w:rPr>
          <w:b/>
          <w:bCs/>
        </w:rPr>
        <w:t xml:space="preserve">Phase 3 go/no-go gate (Day 90):</w:t>
      </w:r>
      <w:r>
        <w:rPr>
          <w:b w:val="false"/>
          <w:bCs w:val="false"/>
        </w:rPr>
        <w:t xml:space="preserve"> Combined hours saved across categorization, report drafting, and receipt automation reach at least 12 hrs/week (acceptable if below the 15-hr target but on a clear trajectory), with a specific plan to close the remaining gap in the next 90-day cycle — likely by widening categorization coverage or completing receipt-automation rollout to 100% of eligible clients.</w:t>
      </w:r>
    </w:p>
    <w:p>
      <w:pPr>
        <w:pStyle w:val="Heading3"/>
      </w:pPr>
      <w:r>
        <w:rPr>
          <w:b w:val="false"/>
          <w:bCs w:val="false"/>
        </w:rPr>
        <w:t xml:space="preserve">Roles Summary Across the 90 Days</w:t>
      </w:r>
    </w:p>
    <w:tbl>
      <w:tblPr>
        <w:tblW w:type="pct" w:w="100%"/>
        <w:tblBorders>
          <w:top w:val="single" w:color="auto" w:sz="4"/>
          <w:left w:val="single" w:color="auto" w:sz="4"/>
          <w:bottom w:val="single" w:color="auto" w:sz="4"/>
          <w:right w:val="single" w:color="auto" w:sz="4"/>
          <w:insideH w:val="single" w:color="auto" w:sz="4"/>
          <w:insideV w:val="single" w:color="auto" w:sz="4"/>
        </w:tblBorders>
      </w:tblPr>
      <w:tblGrid>
        <w:gridCol w:w="100"/>
        <w:gridCol w:w="100"/>
      </w:tblGrid>
      <w:tr>
        <w:tc>
          <w:p>
            <w:r>
              <w:rPr>
                <w:b/>
                <w:bCs/>
              </w:rPr>
              <w:t xml:space="preserve">Role</w:t>
            </w:r>
          </w:p>
        </w:tc>
        <w:tc>
          <w:p>
            <w:r>
              <w:rPr>
                <w:b/>
                <w:bCs/>
              </w:rPr>
              <w:t xml:space="preserve">Total estimated time commitment over 90 days</w:t>
            </w:r>
          </w:p>
        </w:tc>
      </w:tr>
      <w:tr>
        <w:tc>
          <w:p>
            <w:r>
              <w:rPr>
                <w:b w:val="false"/>
                <w:bCs w:val="false"/>
              </w:rPr>
              <w:t xml:space="preserve">Ops-focused partner</w:t>
            </w:r>
          </w:p>
        </w:tc>
        <w:tc>
          <w:p>
            <w:r>
              <w:rPr>
                <w:b w:val="false"/>
                <w:bCs w:val="false"/>
              </w:rPr>
              <w:t xml:space="preserve">~30–35 hours (policy, vendor selection, weekly check-ins, Day 90 review)</w:t>
            </w:r>
          </w:p>
        </w:tc>
      </w:tr>
      <w:tr>
        <w:tc>
          <w:p>
            <w:r>
              <w:rPr>
                <w:b w:val="false"/>
                <w:bCs w:val="false"/>
              </w:rPr>
              <w:t xml:space="preserve">Skeptical partner</w:t>
            </w:r>
          </w:p>
        </w:tc>
        <w:tc>
          <w:p>
            <w:r>
              <w:rPr>
                <w:b w:val="false"/>
                <w:bCs w:val="false"/>
              </w:rPr>
              <w:t xml:space="preserve">~8–10 hours (report review only — deliberately limited scope)</w:t>
            </w:r>
          </w:p>
        </w:tc>
      </w:tr>
      <w:tr>
        <w:tc>
          <w:p>
            <w:r>
              <w:rPr>
                <w:b w:val="false"/>
                <w:bCs w:val="false"/>
              </w:rPr>
              <w:t xml:space="preserve">2 pilot-lead staff accountants</w:t>
            </w:r>
          </w:p>
        </w:tc>
        <w:tc>
          <w:p>
            <w:r>
              <w:rPr>
                <w:b w:val="false"/>
                <w:bCs w:val="false"/>
              </w:rPr>
              <w:t xml:space="preserve">~30–36 hours combined (3 hrs/week × ~10–12 weeks)</w:t>
            </w:r>
          </w:p>
        </w:tc>
      </w:tr>
      <w:tr>
        <w:tc>
          <w:p>
            <w:r>
              <w:rPr>
                <w:b w:val="false"/>
                <w:bCs w:val="false"/>
              </w:rPr>
              <w:t xml:space="preserve">4 account managers</w:t>
            </w:r>
          </w:p>
        </w:tc>
        <w:tc>
          <w:p>
            <w:r>
              <w:rPr>
                <w:b w:val="false"/>
                <w:bCs w:val="false"/>
              </w:rPr>
              <w:t xml:space="preserve">~20–25 hours combined (audit, report rollout, client migration outreach)</w:t>
            </w:r>
          </w:p>
        </w:tc>
      </w:tr>
      <w:tr>
        <w:tc>
          <w:p>
            <w:r>
              <w:rPr>
                <w:b w:val="false"/>
                <w:bCs w:val="false"/>
              </w:rPr>
              <w:t xml:space="preserve">Remaining 12 bookkeeping staff</w:t>
            </w:r>
          </w:p>
        </w:tc>
        <w:tc>
          <w:p>
            <w:r>
              <w:rPr>
                <w:b w:val="false"/>
                <w:bCs w:val="false"/>
              </w:rPr>
              <w:t xml:space="preserve">~1–2 hours each (training only, concentrated in Phase 3)</w:t>
            </w:r>
          </w:p>
        </w:tc>
      </w:tr>
    </w:tbl>
    <w:p>
      <w:pPr>
        <w:spacing w:after="120"/>
      </w:pPr>
    </w:p>
    <w:p>
      <w:pPr>
        <w:pStyle w:val="Heading3"/>
      </w:pPr>
      <w:r>
        <w:rPr>
          <w:b w:val="false"/>
          <w:bCs w:val="false"/>
        </w:rPr>
        <w:t xml:space="preserve">What "Done" Looks Like at Day 90</w:t>
      </w:r>
    </w:p>
    <w:p>
      <w:pPr>
        <w:spacing w:after="200"/>
      </w:pPr>
      <w:r>
        <w:rPr>
          <w:b w:val="false"/>
          <w:bCs w:val="false"/>
        </w:rPr>
        <w:t xml:space="preserve">Bellwood &amp; Cole should exit this roadmap with: a ratified AI data-handling policy; a skeptical partner who has personally validated AI report drafts and approved scaling; a SOC 2-attested categorization tool live across the full 14-person bookkeeping team; a receipt-capture workflow either fully deployed or in final rollout on a consolidated intake channel; and a documented hours-saved figure — not a projection — to bring to the next planning cycle. Whether that figure lands at 12 hours or 17 hours, the firm will have real data instead of the benchmark ranges this report has relied on, which is the correct foundation for deciding how much of the $3,800–$7,750/month industry-typical tech spend to grow into as ROI is proven.</w:t>
      </w:r>
    </w:p>
    <w:p>
      <w:pPr>
        <w:pStyle w:val="Heading1"/>
      </w:pPr>
      <w:r>
        <w:t xml:space="preserve">Tool shortlist</w:t>
      </w:r>
    </w:p>
    <w:p>
      <w:pPr>
        <w:pStyle w:val="Heading3"/>
      </w:pPr>
      <w:r>
        <w:rPr>
          <w:b w:val="false"/>
          <w:bCs w:val="false"/>
        </w:rPr>
        <w:t xml:space="preserve">Tool Shortlist</w:t>
      </w:r>
    </w:p>
    <w:p>
      <w:pPr>
        <w:spacing w:after="200"/>
      </w:pPr>
      <w:r>
        <w:rPr>
          <w:b w:val="false"/>
          <w:bCs w:val="false"/>
        </w:rPr>
        <w:t xml:space="preserve">This shortlist is deliberately narrow. Given the $1,500–$2,000/month ceiling against an industry-typical spend of $3,800–$7,750/month for a firm this size, Bellwood &amp; Cole cannot afford to experiment broadly — it needs 2–3 tools that clear the SOC 2 bar, integrate natively with QuickBooks Online (85% of the book), work adequately with Xero (~15%), and map directly onto the three prioritized use cases: report drafting, transaction categorization, and receipt/invoice capture. Every tool below is evaluated against those four filters, not against feature breadth.</w:t>
      </w:r>
    </w:p>
    <w:p>
      <w:pPr>
        <w:pStyle w:val="Heading3"/>
      </w:pPr>
      <w:r>
        <w:rPr>
          <w:b w:val="false"/>
          <w:bCs w:val="false"/>
        </w:rPr>
        <w:t xml:space="preserve">Evaluation Criteria (Applied Consistently)</w:t>
      </w:r>
    </w:p>
    <w:tbl>
      <w:tblPr>
        <w:tblW w:type="pct" w:w="100%"/>
        <w:tblBorders>
          <w:top w:val="single" w:color="auto" w:sz="4"/>
          <w:left w:val="single" w:color="auto" w:sz="4"/>
          <w:bottom w:val="single" w:color="auto" w:sz="4"/>
          <w:right w:val="single" w:color="auto" w:sz="4"/>
          <w:insideH w:val="single" w:color="auto" w:sz="4"/>
          <w:insideV w:val="single" w:color="auto" w:sz="4"/>
        </w:tblBorders>
      </w:tblPr>
      <w:tblGrid>
        <w:gridCol w:w="100"/>
        <w:gridCol w:w="100"/>
        <w:gridCol w:w="100"/>
      </w:tblGrid>
      <w:tr>
        <w:tc>
          <w:p>
            <w:r>
              <w:rPr>
                <w:b/>
                <w:bCs/>
              </w:rPr>
              <w:t xml:space="preserve">Criterion</w:t>
            </w:r>
          </w:p>
        </w:tc>
        <w:tc>
          <w:p>
            <w:r>
              <w:rPr>
                <w:b/>
                <w:bCs/>
              </w:rPr>
              <w:t xml:space="preserve">Why it matters here</w:t>
            </w:r>
          </w:p>
        </w:tc>
        <w:tc>
          <w:p>
            <w:r>
              <w:rPr>
                <w:b/>
                <w:bCs/>
              </w:rPr>
              <w:t xml:space="preserve">Pass/fail bar</w:t>
            </w:r>
          </w:p>
        </w:tc>
      </w:tr>
      <w:tr>
        <w:tc>
          <w:p>
            <w:r>
              <w:rPr>
                <w:b w:val="false"/>
                <w:bCs w:val="false"/>
              </w:rPr>
              <w:t xml:space="preserve">SOC 2 Type II or written equivalent</w:t>
            </w:r>
          </w:p>
        </w:tc>
        <w:tc>
          <w:p>
            <w:r>
              <w:rPr>
                <w:b w:val="false"/>
                <w:bCs w:val="false"/>
              </w:rPr>
              <w:t xml:space="preserve">Non-negotiable per intake constraint; healthcare/legal clients raise the stakes</w:t>
            </w:r>
          </w:p>
        </w:tc>
        <w:tc>
          <w:p>
            <w:r>
              <w:rPr>
                <w:b w:val="false"/>
                <w:bCs w:val="false"/>
              </w:rPr>
              <w:t xml:space="preserve">Must have attestation on file before any pilot touches live client data</w:t>
            </w:r>
          </w:p>
        </w:tc>
      </w:tr>
      <w:tr>
        <w:tc>
          <w:p>
            <w:r>
              <w:rPr>
                <w:b w:val="false"/>
                <w:bCs w:val="false"/>
              </w:rPr>
              <w:t xml:space="preserve">QBO-native integration</w:t>
            </w:r>
          </w:p>
        </w:tc>
        <w:tc>
          <w:p>
            <w:r>
              <w:rPr>
                <w:b w:val="false"/>
                <w:bCs w:val="false"/>
              </w:rPr>
              <w:t xml:space="preserve">85% of client base runs QBO</w:t>
            </w:r>
          </w:p>
        </w:tc>
        <w:tc>
          <w:p>
            <w:r>
              <w:rPr>
                <w:b w:val="false"/>
                <w:bCs w:val="false"/>
              </w:rPr>
              <w:t xml:space="preserve">Direct API/app-marketplace integration required, not manual export/import</w:t>
            </w:r>
          </w:p>
        </w:tc>
      </w:tr>
      <w:tr>
        <w:tc>
          <w:p>
            <w:r>
              <w:rPr>
                <w:b w:val="false"/>
                <w:bCs w:val="false"/>
              </w:rPr>
              <w:t xml:space="preserve">Xero compatibility</w:t>
            </w:r>
          </w:p>
        </w:tc>
        <w:tc>
          <w:p>
            <w:r>
              <w:rPr>
                <w:b w:val="false"/>
                <w:bCs w:val="false"/>
              </w:rPr>
              <w:t xml:space="preserve">~15% of clients</w:t>
            </w:r>
          </w:p>
        </w:tc>
        <w:tc>
          <w:p>
            <w:r>
              <w:rPr>
                <w:b w:val="false"/>
                <w:bCs w:val="false"/>
              </w:rPr>
              <w:t xml:space="preserve">Acceptable if supported, even if less deeply integrated than QBO</w:t>
            </w:r>
          </w:p>
        </w:tc>
      </w:tr>
      <w:tr>
        <w:tc>
          <w:p>
            <w:r>
              <w:rPr>
                <w:b w:val="false"/>
                <w:bCs w:val="false"/>
              </w:rPr>
              <w:t xml:space="preserve">Monthly cost within ceiling</w:t>
            </w:r>
          </w:p>
        </w:tc>
        <w:tc>
          <w:p>
            <w:r>
              <w:rPr>
                <w:b w:val="false"/>
                <w:bCs w:val="false"/>
              </w:rPr>
              <w:t xml:space="preserve">$1,500–$2,000/month total budget across all tools</w:t>
            </w:r>
          </w:p>
        </w:tc>
        <w:tc>
          <w:p>
            <w:r>
              <w:rPr>
                <w:b w:val="false"/>
                <w:bCs w:val="false"/>
              </w:rPr>
              <w:t xml:space="preserve">Priced per-user or per-client in a way that stays under ceiling at 22-person scale</w:t>
            </w:r>
          </w:p>
        </w:tc>
      </w:tr>
      <w:tr>
        <w:tc>
          <w:p>
            <w:r>
              <w:rPr>
                <w:b w:val="false"/>
                <w:bCs w:val="false"/>
              </w:rPr>
              <w:t xml:space="preserve">Human-in-the-loop support</w:t>
            </w:r>
          </w:p>
        </w:tc>
        <w:tc>
          <w:p>
            <w:r>
              <w:rPr>
                <w:b w:val="false"/>
                <w:bCs w:val="false"/>
              </w:rPr>
              <w:t xml:space="preserve">Governance policy requires review before anything reaches a client</w:t>
            </w:r>
          </w:p>
        </w:tc>
        <w:tc>
          <w:p>
            <w:r>
              <w:rPr>
                <w:b w:val="false"/>
                <w:bCs w:val="false"/>
              </w:rPr>
              <w:t xml:space="preserve">Must support a draft/approve workflow, not force fully autonomous output</w:t>
            </w:r>
          </w:p>
        </w:tc>
      </w:tr>
    </w:tbl>
    <w:p>
      <w:pPr>
        <w:spacing w:after="120"/>
      </w:pPr>
    </w:p>
    <w:p>
      <w:pPr>
        <w:pStyle w:val="Heading3"/>
      </w:pPr>
      <w:r>
        <w:rPr>
          <w:b w:val="false"/>
          <w:bCs w:val="false"/>
        </w:rPr>
        <w:t xml:space="preserve">Use Case 1: Client Report Drafting</w:t>
      </w:r>
    </w:p>
    <w:tbl>
      <w:tblPr>
        <w:tblW w:type="pct" w:w="100%"/>
        <w:tblBorders>
          <w:top w:val="single" w:color="auto" w:sz="4"/>
          <w:left w:val="single" w:color="auto" w:sz="4"/>
          <w:bottom w:val="single" w:color="auto" w:sz="4"/>
          <w:right w:val="single" w:color="auto" w:sz="4"/>
          <w:insideH w:val="single" w:color="auto" w:sz="4"/>
          <w:insideV w:val="single" w:color="auto" w:sz="4"/>
        </w:tblBorders>
      </w:tblPr>
      <w:tblGrid>
        <w:gridCol w:w="100"/>
        <w:gridCol w:w="100"/>
        <w:gridCol w:w="100"/>
        <w:gridCol w:w="100"/>
        <w:gridCol w:w="100"/>
      </w:tblGrid>
      <w:tr>
        <w:tc>
          <w:p>
            <w:r>
              <w:rPr>
                <w:b/>
                <w:bCs/>
              </w:rPr>
              <w:t xml:space="preserve">Tool</w:t>
            </w:r>
          </w:p>
        </w:tc>
        <w:tc>
          <w:p>
            <w:r>
              <w:rPr>
                <w:b/>
                <w:bCs/>
              </w:rPr>
              <w:t xml:space="preserve">What it does</w:t>
            </w:r>
          </w:p>
        </w:tc>
        <w:tc>
          <w:p>
            <w:r>
              <w:rPr>
                <w:b/>
                <w:bCs/>
              </w:rPr>
              <w:t xml:space="preserve">SOC 2 status</w:t>
            </w:r>
          </w:p>
        </w:tc>
        <w:tc>
          <w:p>
            <w:r>
              <w:rPr>
                <w:b/>
                <w:bCs/>
              </w:rPr>
              <w:t xml:space="preserve">Cost at Bellwood &amp; Cole's scale</w:t>
            </w:r>
          </w:p>
        </w:tc>
        <w:tc>
          <w:p>
            <w:r>
              <w:rPr>
                <w:b/>
                <w:bCs/>
              </w:rPr>
              <w:t xml:space="preserve">Fit notes</w:t>
            </w:r>
          </w:p>
        </w:tc>
      </w:tr>
      <w:tr>
        <w:tc>
          <w:p>
            <w:r>
              <w:rPr>
                <w:b/>
                <w:bCs/>
              </w:rPr>
              <w:t xml:space="preserve">Jirav</w:t>
            </w:r>
          </w:p>
        </w:tc>
        <w:tc>
          <w:p>
            <w:r>
              <w:rPr>
                <w:b w:val="false"/>
                <w:bCs w:val="false"/>
              </w:rPr>
              <w:t xml:space="preserve">AI-assisted financial reporting/FP&amp;A layer that pulls from QBO/Xero and generates commentary-ready dashboards and narrative reports</w:t>
            </w:r>
          </w:p>
        </w:tc>
        <w:tc>
          <w:p>
            <w:r>
              <w:rPr>
                <w:b w:val="false"/>
                <w:bCs w:val="false"/>
              </w:rPr>
              <w:t xml:space="preserve">SOC 2 Type II certified</w:t>
            </w:r>
          </w:p>
        </w:tc>
        <w:tc>
          <w:p>
            <w:r>
              <w:rPr>
                <w:b w:val="false"/>
                <w:bCs w:val="false"/>
              </w:rPr>
              <w:t xml:space="preserve">~$200–$400/month depending on client count tier</w:t>
            </w:r>
          </w:p>
        </w:tc>
        <w:tc>
          <w:p>
            <w:r>
              <w:rPr>
                <w:b w:val="false"/>
                <w:bCs w:val="false"/>
              </w:rPr>
              <w:t xml:space="preserve">Purpose-built for accounting firms; strongest fit for the "draft-then-review" workflow the skeptical partner needs</w:t>
            </w:r>
          </w:p>
        </w:tc>
      </w:tr>
      <w:tr>
        <w:tc>
          <w:p>
            <w:r>
              <w:rPr>
                <w:b/>
                <w:bCs/>
              </w:rPr>
              <w:t xml:space="preserve">Fathom</w:t>
            </w:r>
          </w:p>
        </w:tc>
        <w:tc>
          <w:p>
            <w:r>
              <w:rPr>
                <w:b w:val="false"/>
                <w:bCs w:val="false"/>
              </w:rPr>
              <w:t xml:space="preserve">Management-reporting tool with AI commentary generation, consolidates QBO/Xero data into client-ready report drafts</w:t>
            </w:r>
          </w:p>
        </w:tc>
        <w:tc>
          <w:p>
            <w:r>
              <w:rPr>
                <w:b w:val="false"/>
                <w:bCs w:val="false"/>
              </w:rPr>
              <w:t xml:space="preserve">SOC 2 Type II certified</w:t>
            </w:r>
          </w:p>
        </w:tc>
        <w:tc>
          <w:p>
            <w:r>
              <w:rPr>
                <w:b w:val="false"/>
                <w:bCs w:val="false"/>
              </w:rPr>
              <w:t xml:space="preserve">~$150–$300/month (firm-wide plans available)</w:t>
            </w:r>
          </w:p>
        </w:tc>
        <w:tc>
          <w:p>
            <w:r>
              <w:rPr>
                <w:b w:val="false"/>
                <w:bCs w:val="false"/>
              </w:rPr>
              <w:t xml:space="preserve">Widely used by bookkeeping firms specifically for this workflow; lower cost than Jirav, slightly less advisory-depth in narrative</w:t>
            </w:r>
          </w:p>
        </w:tc>
      </w:tr>
      <w:tr>
        <w:tc>
          <w:p>
            <w:r>
              <w:rPr>
                <w:b/>
                <w:bCs/>
              </w:rPr>
              <w:t xml:space="preserve">ChatGPT Enterprise / Team</w:t>
            </w:r>
            <w:r>
              <w:rPr>
                <w:b w:val="false"/>
                <w:bCs w:val="false"/>
              </w:rPr>
              <w:t xml:space="preserve"> (as a lightweight fallback)</w:t>
            </w:r>
          </w:p>
        </w:tc>
        <w:tc>
          <w:p>
            <w:r>
              <w:rPr>
                <w:b w:val="false"/>
                <w:bCs w:val="false"/>
              </w:rPr>
              <w:t xml:space="preserve">Manual prompt-based drafting from exported QBO/Xero reports; no direct integration</w:t>
            </w:r>
          </w:p>
        </w:tc>
        <w:tc>
          <w:p>
            <w:r>
              <w:rPr>
                <w:b w:val="false"/>
                <w:bCs w:val="false"/>
              </w:rPr>
              <w:t xml:space="preserve">SOC 2 Type II certified (Enterprise tier)</w:t>
            </w:r>
          </w:p>
        </w:tc>
        <w:tc>
          <w:p>
            <w:r>
              <w:rPr>
                <w:b w:val="false"/>
                <w:bCs w:val="false"/>
              </w:rPr>
              <w:t xml:space="preserve">$25–$30/user/month (Team tier; Enterprise pricing custom)</w:t>
            </w:r>
          </w:p>
        </w:tc>
        <w:tc>
          <w:p>
            <w:r>
              <w:rPr>
                <w:b w:val="false"/>
                <w:bCs w:val="false"/>
              </w:rPr>
              <w:t xml:space="preserve">Cheapest option and already informally in use by one accountant; but requires manual copy/paste of data — higher staff effort, no automation of the export step</w:t>
            </w:r>
          </w:p>
        </w:tc>
      </w:tr>
    </w:tbl>
    <w:p>
      <w:pPr>
        <w:spacing w:after="120"/>
      </w:pPr>
    </w:p>
    <w:p>
      <w:pPr>
        <w:spacing w:after="200"/>
      </w:pPr>
      <w:r>
        <w:rPr>
          <w:b/>
          <w:bCs/>
        </w:rPr>
        <w:t xml:space="preserve">Recommendation:</w:t>
      </w:r>
      <w:r>
        <w:rPr>
          <w:b w:val="false"/>
          <w:bCs w:val="false"/>
        </w:rPr>
        <w:t xml:space="preserve"> Start the Phase 1 pilot with </w:t>
      </w:r>
      <w:r>
        <w:rPr>
          <w:b/>
          <w:bCs/>
        </w:rPr>
        <w:t xml:space="preserve">Fathom</w:t>
      </w:r>
      <w:r>
        <w:rPr>
          <w:b w:val="false"/>
          <w:bCs w:val="false"/>
        </w:rPr>
        <w:t xml:space="preserve"> at the lower price point, since the report-drafting use case is explicitly about proving accuracy to the skeptical partner, not maximizing feature depth. If the firm outgrows Fathom's advisory commentary quality once the objective shifts fully to advisory work (per the strategic reframing in the findings section), evaluate upgrading to Jirav in a later phase. Budget: </w:t>
      </w:r>
      <w:r>
        <w:rPr>
          <w:b/>
          <w:bCs/>
        </w:rPr>
        <w:t xml:space="preserve">$150–$300/month</w:t>
      </w:r>
      <w:r>
        <w:rPr>
          <w:b w:val="false"/>
          <w:bCs w:val="false"/>
        </w:rPr>
        <w:t xml:space="preserve">, leaving the majority of the monthly ceiling for the categorization tool.</w:t>
      </w:r>
    </w:p>
    <w:p>
      <w:pPr>
        <w:pStyle w:val="Heading3"/>
      </w:pPr>
      <w:r>
        <w:rPr>
          <w:b w:val="false"/>
          <w:bCs w:val="false"/>
        </w:rPr>
        <w:t xml:space="preserve">Use Case 2: Transaction Categorization</w:t>
      </w:r>
    </w:p>
    <w:tbl>
      <w:tblPr>
        <w:tblW w:type="pct" w:w="100%"/>
        <w:tblBorders>
          <w:top w:val="single" w:color="auto" w:sz="4"/>
          <w:left w:val="single" w:color="auto" w:sz="4"/>
          <w:bottom w:val="single" w:color="auto" w:sz="4"/>
          <w:right w:val="single" w:color="auto" w:sz="4"/>
          <w:insideH w:val="single" w:color="auto" w:sz="4"/>
          <w:insideV w:val="single" w:color="auto" w:sz="4"/>
        </w:tblBorders>
      </w:tblPr>
      <w:tblGrid>
        <w:gridCol w:w="100"/>
        <w:gridCol w:w="100"/>
        <w:gridCol w:w="100"/>
        <w:gridCol w:w="100"/>
        <w:gridCol w:w="100"/>
      </w:tblGrid>
      <w:tr>
        <w:tc>
          <w:p>
            <w:r>
              <w:rPr>
                <w:b/>
                <w:bCs/>
              </w:rPr>
              <w:t xml:space="preserve">Tool</w:t>
            </w:r>
          </w:p>
        </w:tc>
        <w:tc>
          <w:p>
            <w:r>
              <w:rPr>
                <w:b/>
                <w:bCs/>
              </w:rPr>
              <w:t xml:space="preserve">What it does</w:t>
            </w:r>
          </w:p>
        </w:tc>
        <w:tc>
          <w:p>
            <w:r>
              <w:rPr>
                <w:b/>
                <w:bCs/>
              </w:rPr>
              <w:t xml:space="preserve">SOC 2 status</w:t>
            </w:r>
          </w:p>
        </w:tc>
        <w:tc>
          <w:p>
            <w:r>
              <w:rPr>
                <w:b/>
                <w:bCs/>
              </w:rPr>
              <w:t xml:space="preserve">Cost at Bellwood &amp; Cole's scale</w:t>
            </w:r>
          </w:p>
        </w:tc>
        <w:tc>
          <w:p>
            <w:r>
              <w:rPr>
                <w:b/>
                <w:bCs/>
              </w:rPr>
              <w:t xml:space="preserve">Fit notes</w:t>
            </w:r>
          </w:p>
        </w:tc>
      </w:tr>
      <w:tr>
        <w:tc>
          <w:p>
            <w:r>
              <w:rPr>
                <w:b/>
                <w:bCs/>
              </w:rPr>
              <w:t xml:space="preserve">Booke.ai</w:t>
            </w:r>
          </w:p>
        </w:tc>
        <w:tc>
          <w:p>
            <w:r>
              <w:rPr>
                <w:b w:val="false"/>
                <w:bCs w:val="false"/>
              </w:rPr>
              <w:t xml:space="preserve">AI categorization and reconciliation layer built specifically for bookkeeping firms, integrates directly with QBO and Xero, learns client-specific coding rules over time</w:t>
            </w:r>
          </w:p>
        </w:tc>
        <w:tc>
          <w:p>
            <w:r>
              <w:rPr>
                <w:b w:val="false"/>
                <w:bCs w:val="false"/>
              </w:rPr>
              <w:t xml:space="preserve">SOC 2 Type II certified</w:t>
            </w:r>
          </w:p>
        </w:tc>
        <w:tc>
          <w:p>
            <w:r>
              <w:rPr>
                <w:b w:val="false"/>
                <w:bCs w:val="false"/>
              </w:rPr>
              <w:t xml:space="preserve">~$300–$600/month for a firm managing 60–100 client files (tiered by transaction volume)</w:t>
            </w:r>
          </w:p>
        </w:tc>
        <w:tc>
          <w:p>
            <w:r>
              <w:rPr>
                <w:b w:val="false"/>
                <w:bCs w:val="false"/>
              </w:rPr>
              <w:t xml:space="preserve">Purpose-built for exactly this use case and this client profile (multi-client bookkeeping firm); strongest direct fit</w:t>
            </w:r>
          </w:p>
        </w:tc>
      </w:tr>
      <w:tr>
        <w:tc>
          <w:p>
            <w:r>
              <w:rPr>
                <w:b/>
                <w:bCs/>
              </w:rPr>
              <w:t xml:space="preserve">Uncat</w:t>
            </w:r>
          </w:p>
        </w:tc>
        <w:tc>
          <w:p>
            <w:r>
              <w:rPr>
                <w:b w:val="false"/>
                <w:bCs w:val="false"/>
              </w:rPr>
              <w:t xml:space="preserve">Flags uncategorized/miscoded transactions in QBO for review, less full-service automation, more of an exception-finder</w:t>
            </w:r>
          </w:p>
        </w:tc>
        <w:tc>
          <w:p>
            <w:r>
              <w:rPr>
                <w:b w:val="false"/>
                <w:bCs w:val="false"/>
              </w:rPr>
              <w:t xml:space="preserve">SOC 2 attestation available on request (verify before procurement)</w:t>
            </w:r>
          </w:p>
        </w:tc>
        <w:tc>
          <w:p>
            <w:r>
              <w:rPr>
                <w:b w:val="false"/>
                <w:bCs w:val="false"/>
              </w:rPr>
              <w:t xml:space="preserve">~$50–$150/month depending on client volume</w:t>
            </w:r>
          </w:p>
        </w:tc>
        <w:tc>
          <w:p>
            <w:r>
              <w:rPr>
                <w:b w:val="false"/>
                <w:bCs w:val="false"/>
              </w:rPr>
              <w:t xml:space="preserve">Cheaper complement rather than a primary tool — useful for catching what the primary categorization tool misses, not a standalone solution</w:t>
            </w:r>
          </w:p>
        </w:tc>
      </w:tr>
      <w:tr>
        <w:tc>
          <w:p>
            <w:r>
              <w:rPr>
                <w:b/>
                <w:bCs/>
              </w:rPr>
              <w:t xml:space="preserve">QBO's native "Smart Categorization"/bank rules + Xero's bank rules</w:t>
            </w:r>
          </w:p>
        </w:tc>
        <w:tc>
          <w:p>
            <w:r>
              <w:rPr>
                <w:b w:val="false"/>
                <w:bCs w:val="false"/>
              </w:rPr>
              <w:t xml:space="preserve">Vendor-embedded categorization already included in the ledger subscription</w:t>
            </w:r>
          </w:p>
        </w:tc>
        <w:tc>
          <w:p>
            <w:r>
              <w:rPr>
                <w:b w:val="false"/>
                <w:bCs w:val="false"/>
              </w:rPr>
              <w:t xml:space="preserve">Covered under QBO/Xero's own SOC 2 compliance (inherited, not separately procured)</w:t>
            </w:r>
          </w:p>
        </w:tc>
        <w:tc>
          <w:p>
            <w:r>
              <w:rPr>
                <w:b w:val="false"/>
                <w:bCs w:val="false"/>
              </w:rPr>
              <w:t xml:space="preserve">$0 incremental — already paid for</w:t>
            </w:r>
          </w:p>
        </w:tc>
        <w:tc>
          <w:p>
            <w:r>
              <w:rPr>
                <w:b w:val="false"/>
                <w:bCs w:val="false"/>
              </w:rPr>
              <w:t xml:space="preserve">Per the research section's finding that vendor-embedded AI is advancing fast: this should be fully configured and exhausted first, since it's free, before paying for a third-party layer on top of it</w:t>
            </w:r>
          </w:p>
        </w:tc>
      </w:tr>
    </w:tbl>
    <w:p>
      <w:pPr>
        <w:spacing w:after="120"/>
      </w:pPr>
    </w:p>
    <w:p>
      <w:pPr>
        <w:spacing w:after="200"/>
      </w:pPr>
      <w:r>
        <w:rPr>
          <w:b/>
          <w:bCs/>
        </w:rPr>
        <w:t xml:space="preserve">Recommendation:</w:t>
      </w:r>
      <w:r>
        <w:rPr>
          <w:b w:val="false"/>
          <w:bCs w:val="false"/>
        </w:rPr>
        <w:t xml:space="preserve"> Sequence this deliberately. </w:t>
      </w:r>
      <w:r>
        <w:rPr>
          <w:b/>
          <w:bCs/>
        </w:rPr>
        <w:t xml:space="preserve">Week 1–2 of Phase 1:</w:t>
      </w:r>
      <w:r>
        <w:rPr>
          <w:b w:val="false"/>
          <w:bCs w:val="false"/>
        </w:rPr>
        <w:t xml:space="preserve"> have the two pilot-lead staff accountants fully configure and test QBO's native bank rules and Xero's equivalent across the pilot client files — this costs nothing and may already close part of the categorization gap. </w:t>
      </w:r>
      <w:r>
        <w:rPr>
          <w:b/>
          <w:bCs/>
        </w:rPr>
        <w:t xml:space="preserve">Week 3 onward:</w:t>
      </w:r>
      <w:r>
        <w:rPr>
          <w:b w:val="false"/>
          <w:bCs w:val="false"/>
        </w:rPr>
        <w:t xml:space="preserve"> deploy </w:t>
      </w:r>
      <w:r>
        <w:rPr>
          <w:b/>
          <w:bCs/>
        </w:rPr>
        <w:t xml:space="preserve">Booke.ai</w:t>
      </w:r>
      <w:r>
        <w:rPr>
          <w:b w:val="false"/>
          <w:bCs w:val="false"/>
        </w:rPr>
        <w:t xml:space="preserve"> specifically for what native rules can't handle — client-specific judgment calls, cross-account patterns, and the "personal vs. business" edge cases flagged in the readiness assessment as the accuracy risk to watch. Budget: </w:t>
      </w:r>
      <w:r>
        <w:rPr>
          <w:b/>
          <w:bCs/>
        </w:rPr>
        <w:t xml:space="preserve">$300–$600/month</w:t>
      </w:r>
      <w:r>
        <w:rPr>
          <w:b w:val="false"/>
          <w:bCs w:val="false"/>
        </w:rPr>
        <w:t xml:space="preserve">, which combined with report drafting ($150–$300/month) puts the firm at </w:t>
      </w:r>
      <w:r>
        <w:rPr>
          <w:b/>
          <w:bCs/>
        </w:rPr>
        <w:t xml:space="preserve">$450–$900/month</w:t>
      </w:r>
      <w:r>
        <w:rPr>
          <w:b w:val="false"/>
          <w:bCs w:val="false"/>
        </w:rPr>
        <w:t xml:space="preserve"> — comfortably under the $2,000 ceiling and leaving room for the third tool.</w:t>
      </w:r>
    </w:p>
    <w:p>
      <w:pPr>
        <w:pStyle w:val="Heading3"/>
      </w:pPr>
      <w:r>
        <w:rPr>
          <w:b w:val="false"/>
          <w:bCs w:val="false"/>
        </w:rPr>
        <w:t xml:space="preserve">Use Case 3: Receipt/Invoice Data-Entry Automation</w:t>
      </w:r>
    </w:p>
    <w:p>
      <w:pPr>
        <w:spacing w:after="200"/>
      </w:pPr>
      <w:r>
        <w:rPr>
          <w:b w:val="false"/>
          <w:bCs w:val="false"/>
        </w:rPr>
        <w:t xml:space="preserve">This tool selection is explicitly </w:t>
      </w:r>
      <w:r>
        <w:rPr>
          <w:b/>
          <w:bCs/>
        </w:rPr>
        <w:t xml:space="preserve">gated</w:t>
      </w:r>
      <w:r>
        <w:rPr>
          <w:b w:val="false"/>
          <w:bCs w:val="false"/>
        </w:rPr>
        <w:t xml:space="preserve"> by the intake-channel audit specified in the readiness assessment (Phase 1, weeks 3–4). The two candidates below represent the two possible outcomes of that audit — select one based on what the audit finds, not both.</w:t>
      </w:r>
    </w:p>
    <w:tbl>
      <w:tblPr>
        <w:tblW w:type="pct" w:w="100%"/>
        <w:tblBorders>
          <w:top w:val="single" w:color="auto" w:sz="4"/>
          <w:left w:val="single" w:color="auto" w:sz="4"/>
          <w:bottom w:val="single" w:color="auto" w:sz="4"/>
          <w:right w:val="single" w:color="auto" w:sz="4"/>
          <w:insideH w:val="single" w:color="auto" w:sz="4"/>
          <w:insideV w:val="single" w:color="auto" w:sz="4"/>
        </w:tblBorders>
      </w:tblPr>
      <w:tblGrid>
        <w:gridCol w:w="100"/>
        <w:gridCol w:w="100"/>
        <w:gridCol w:w="100"/>
        <w:gridCol w:w="100"/>
        <w:gridCol w:w="100"/>
      </w:tblGrid>
      <w:tr>
        <w:tc>
          <w:p>
            <w:r>
              <w:rPr>
                <w:b/>
                <w:bCs/>
              </w:rPr>
              <w:t xml:space="preserve">Tool</w:t>
            </w:r>
          </w:p>
        </w:tc>
        <w:tc>
          <w:p>
            <w:r>
              <w:rPr>
                <w:b/>
                <w:bCs/>
              </w:rPr>
              <w:t xml:space="preserve">What it does</w:t>
            </w:r>
          </w:p>
        </w:tc>
        <w:tc>
          <w:p>
            <w:r>
              <w:rPr>
                <w:b/>
                <w:bCs/>
              </w:rPr>
              <w:t xml:space="preserve">SOC 2 status</w:t>
            </w:r>
          </w:p>
        </w:tc>
        <w:tc>
          <w:p>
            <w:r>
              <w:rPr>
                <w:b/>
                <w:bCs/>
              </w:rPr>
              <w:t xml:space="preserve">Cost at Bellwood &amp; Cole's scale</w:t>
            </w:r>
          </w:p>
        </w:tc>
        <w:tc>
          <w:p>
            <w:r>
              <w:rPr>
                <w:b/>
                <w:bCs/>
              </w:rPr>
              <w:t xml:space="preserve">Fit notes</w:t>
            </w:r>
          </w:p>
        </w:tc>
      </w:tr>
      <w:tr>
        <w:tc>
          <w:p>
            <w:r>
              <w:rPr>
                <w:b/>
                <w:bCs/>
              </w:rPr>
              <w:t xml:space="preserve">Dext (formerly Receipt Bank)</w:t>
            </w:r>
          </w:p>
        </w:tc>
        <w:tc>
          <w:p>
            <w:r>
              <w:rPr>
                <w:b w:val="false"/>
                <w:bCs w:val="false"/>
              </w:rPr>
              <w:t xml:space="preserve">OCR receipt/invoice capture with multi-channel ingestion (email forwarding, mobile app, direct upload), publishes directly into QBO/Xero</w:t>
            </w:r>
          </w:p>
        </w:tc>
        <w:tc>
          <w:p>
            <w:r>
              <w:rPr>
                <w:b w:val="false"/>
                <w:bCs w:val="false"/>
              </w:rPr>
              <w:t xml:space="preserve">SOC 2 Type II certified</w:t>
            </w:r>
          </w:p>
        </w:tc>
        <w:tc>
          <w:p>
            <w:r>
              <w:rPr>
                <w:b w:val="false"/>
                <w:bCs w:val="false"/>
              </w:rPr>
              <w:t xml:space="preserve">~$250–$500/month for a firm managing this client volume, priced per client/user tier</w:t>
            </w:r>
          </w:p>
        </w:tc>
        <w:tc>
          <w:p>
            <w:r>
              <w:rPr>
                <w:b/>
                <w:bCs/>
              </w:rPr>
              <w:t xml:space="preserve">Recommended if the audit finds intake stays multi-channel</w:t>
            </w:r>
            <w:r>
              <w:rPr>
                <w:b w:val="false"/>
                <w:bCs w:val="false"/>
              </w:rPr>
              <w:t xml:space="preserve"> — Dext is specifically built to handle email PDFs, photos, and uploads without requiring client behavior change, which matches the fragmented intake pattern in the intake data</w:t>
            </w:r>
          </w:p>
        </w:tc>
      </w:tr>
      <w:tr>
        <w:tc>
          <w:p>
            <w:r>
              <w:rPr>
                <w:b/>
                <w:bCs/>
              </w:rPr>
              <w:t xml:space="preserve">Hubdoc</w:t>
            </w:r>
          </w:p>
        </w:tc>
        <w:tc>
          <w:p>
            <w:r>
              <w:rPr>
                <w:b w:val="false"/>
                <w:bCs w:val="false"/>
              </w:rPr>
              <w:t xml:space="preserve">OCR capture bundled with QBO subscriptions in some tiers; simpler, more limited multi-channel handling than Dext</w:t>
            </w:r>
          </w:p>
        </w:tc>
        <w:tc>
          <w:p>
            <w:r>
              <w:rPr>
                <w:b w:val="false"/>
                <w:bCs w:val="false"/>
              </w:rPr>
              <w:t xml:space="preserve">SOC 2 compliant (Intuit-owned, inherits QBO's compliance posture)</w:t>
            </w:r>
          </w:p>
        </w:tc>
        <w:tc>
          <w:p>
            <w:r>
              <w:rPr>
                <w:b w:val="false"/>
                <w:bCs w:val="false"/>
              </w:rPr>
              <w:t xml:space="preserve">Often included free or low-cost with QBO Online Accountant plans</w:t>
            </w:r>
          </w:p>
        </w:tc>
        <w:tc>
          <w:p>
            <w:r>
              <w:rPr>
                <w:b/>
                <w:bCs/>
              </w:rPr>
              <w:t xml:space="preserve">Recommended if the audit finds consolidation to a single channel is feasible</w:t>
            </w:r>
            <w:r>
              <w:rPr>
                <w:b w:val="false"/>
                <w:bCs w:val="false"/>
              </w:rPr>
              <w:t xml:space="preserve"> — since it's frequently bundled at low/no incremental cost, this is the budget-friendly option, but it requires the client behavior change (single upload channel) the audit is meant to evaluate</w:t>
            </w:r>
          </w:p>
        </w:tc>
      </w:tr>
    </w:tbl>
    <w:p>
      <w:pPr>
        <w:spacing w:after="120"/>
      </w:pPr>
    </w:p>
    <w:p>
      <w:pPr>
        <w:spacing w:after="200"/>
      </w:pPr>
      <w:r>
        <w:rPr>
          <w:b/>
          <w:bCs/>
        </w:rPr>
        <w:t xml:space="preserve">Recommendation:</w:t>
      </w:r>
      <w:r>
        <w:rPr>
          <w:b w:val="false"/>
          <w:bCs w:val="false"/>
        </w:rPr>
        <w:t xml:space="preserve"> Do not procure either tool until the Phase 1 audit (2 hours of account manager time) is complete. If the audit shows most clients can be migrated to a single channel without friction, </w:t>
      </w:r>
      <w:r>
        <w:rPr>
          <w:b/>
          <w:bCs/>
        </w:rPr>
        <w:t xml:space="preserve">Hubdoc</w:t>
      </w:r>
      <w:r>
        <w:rPr>
          <w:b w:val="false"/>
          <w:bCs w:val="false"/>
        </w:rPr>
        <w:t xml:space="preserve"> is the better economic choice given it's often bundled with existing QBO Online Accountant access — potentially $0 incremental cost. If clients are resistant to changing habits (a realistic outcome given some clients still mail paper), </w:t>
      </w:r>
      <w:r>
        <w:rPr>
          <w:b/>
          <w:bCs/>
        </w:rPr>
        <w:t xml:space="preserve">Dext</w:t>
      </w:r>
      <w:r>
        <w:rPr>
          <w:b w:val="false"/>
          <w:bCs w:val="false"/>
        </w:rPr>
        <w:t xml:space="preserve"> is worth its ~$250–$500/month because it solves the actual problem (channel fragmentation) rather than requiring the firm to solve it through client behavior change first.</w:t>
      </w:r>
    </w:p>
    <w:p>
      <w:pPr>
        <w:pStyle w:val="Heading3"/>
      </w:pPr>
      <w:r>
        <w:rPr>
          <w:b w:val="false"/>
          <w:bCs w:val="false"/>
        </w:rPr>
        <w:t xml:space="preserve">Consolidated Budget View</w:t>
      </w:r>
    </w:p>
    <w:tbl>
      <w:tblPr>
        <w:tblW w:type="pct" w:w="100%"/>
        <w:tblBorders>
          <w:top w:val="single" w:color="auto" w:sz="4"/>
          <w:left w:val="single" w:color="auto" w:sz="4"/>
          <w:bottom w:val="single" w:color="auto" w:sz="4"/>
          <w:right w:val="single" w:color="auto" w:sz="4"/>
          <w:insideH w:val="single" w:color="auto" w:sz="4"/>
          <w:insideV w:val="single" w:color="auto" w:sz="4"/>
        </w:tblBorders>
      </w:tblPr>
      <w:tblGrid>
        <w:gridCol w:w="100"/>
        <w:gridCol w:w="100"/>
        <w:gridCol w:w="100"/>
        <w:gridCol w:w="100"/>
      </w:tblGrid>
      <w:tr>
        <w:tc>
          <w:p>
            <w:r>
              <w:rPr>
                <w:b/>
                <w:bCs/>
              </w:rPr>
              <w:t xml:space="preserve">Tool</w:t>
            </w:r>
          </w:p>
        </w:tc>
        <w:tc>
          <w:p>
            <w:r>
              <w:rPr>
                <w:b/>
                <w:bCs/>
              </w:rPr>
              <w:t xml:space="preserve">Use case</w:t>
            </w:r>
          </w:p>
        </w:tc>
        <w:tc>
          <w:p>
            <w:r>
              <w:rPr>
                <w:b/>
                <w:bCs/>
              </w:rPr>
              <w:t xml:space="preserve">Monthly cost</w:t>
            </w:r>
          </w:p>
        </w:tc>
        <w:tc>
          <w:p>
            <w:r>
              <w:rPr>
                <w:b/>
                <w:bCs/>
              </w:rPr>
              <w:t xml:space="preserve">Cumulative running total</w:t>
            </w:r>
          </w:p>
        </w:tc>
      </w:tr>
      <w:tr>
        <w:tc>
          <w:p>
            <w:r>
              <w:rPr>
                <w:b w:val="false"/>
                <w:bCs w:val="false"/>
              </w:rPr>
              <w:t xml:space="preserve">Fathom</w:t>
            </w:r>
          </w:p>
        </w:tc>
        <w:tc>
          <w:p>
            <w:r>
              <w:rPr>
                <w:b w:val="false"/>
                <w:bCs w:val="false"/>
              </w:rPr>
              <w:t xml:space="preserve">Report drafting</w:t>
            </w:r>
          </w:p>
        </w:tc>
        <w:tc>
          <w:p>
            <w:r>
              <w:rPr>
                <w:b w:val="false"/>
                <w:bCs w:val="false"/>
              </w:rPr>
              <w:t xml:space="preserve">$150–$300</w:t>
            </w:r>
          </w:p>
        </w:tc>
        <w:tc>
          <w:p>
            <w:r>
              <w:rPr>
                <w:b w:val="false"/>
                <w:bCs w:val="false"/>
              </w:rPr>
              <w:t xml:space="preserve">$150–$300</w:t>
            </w:r>
          </w:p>
        </w:tc>
      </w:tr>
      <w:tr>
        <w:tc>
          <w:p>
            <w:r>
              <w:rPr>
                <w:b w:val="false"/>
                <w:bCs w:val="false"/>
              </w:rPr>
              <w:t xml:space="preserve">Booke.ai</w:t>
            </w:r>
          </w:p>
        </w:tc>
        <w:tc>
          <w:p>
            <w:r>
              <w:rPr>
                <w:b w:val="false"/>
                <w:bCs w:val="false"/>
              </w:rPr>
              <w:t xml:space="preserve">Transaction categorization</w:t>
            </w:r>
          </w:p>
        </w:tc>
        <w:tc>
          <w:p>
            <w:r>
              <w:rPr>
                <w:b w:val="false"/>
                <w:bCs w:val="false"/>
              </w:rPr>
              <w:t xml:space="preserve">$300–$600</w:t>
            </w:r>
          </w:p>
        </w:tc>
        <w:tc>
          <w:p>
            <w:r>
              <w:rPr>
                <w:b w:val="false"/>
                <w:bCs w:val="false"/>
              </w:rPr>
              <w:t xml:space="preserve">$450–$900</w:t>
            </w:r>
          </w:p>
        </w:tc>
      </w:tr>
      <w:tr>
        <w:tc>
          <w:p>
            <w:r>
              <w:rPr>
                <w:b w:val="false"/>
                <w:bCs w:val="false"/>
              </w:rPr>
              <w:t xml:space="preserve">Hubdoc (best case) or Dext (fallback)</w:t>
            </w:r>
          </w:p>
        </w:tc>
        <w:tc>
          <w:p>
            <w:r>
              <w:rPr>
                <w:b w:val="false"/>
                <w:bCs w:val="false"/>
              </w:rPr>
              <w:t xml:space="preserve">Receipt/invoice capture</w:t>
            </w:r>
          </w:p>
        </w:tc>
        <w:tc>
          <w:p>
            <w:r>
              <w:rPr>
                <w:b w:val="false"/>
                <w:bCs w:val="false"/>
              </w:rPr>
              <w:t xml:space="preserve">$0–$500</w:t>
            </w:r>
          </w:p>
        </w:tc>
        <w:tc>
          <w:p>
            <w:r>
              <w:rPr>
                <w:b/>
                <w:bCs/>
              </w:rPr>
              <w:t xml:space="preserve">$450–$1,400</w:t>
            </w:r>
          </w:p>
        </w:tc>
      </w:tr>
    </w:tbl>
    <w:p>
      <w:pPr>
        <w:spacing w:after="120"/>
      </w:pPr>
    </w:p>
    <w:p>
      <w:pPr>
        <w:spacing w:after="200"/>
      </w:pPr>
      <w:r>
        <w:rPr>
          <w:b w:val="false"/>
          <w:bCs w:val="false"/>
        </w:rPr>
        <w:t xml:space="preserve">Even in the higher-cost scenario (Fathom at $300 + Booke.ai at $600 + Dext at $500 = $1,400/month), the shortlist stays under the $2,000 ceiling with roughly $600/month of headroom — useful buffer for tiered pricing increases as client-file counts scale, or for adding Uncat ($50–$150/month) as a categorization safety net once the primary rollout is validated. This confirms the finding from the research section: the budget realistically supports 2–3 focused tools, not a broader stack, and this shortlist is built to that constraint rather than around it.</w:t>
      </w:r>
    </w:p>
    <w:p>
      <w:pPr>
        <w:pStyle w:val="Heading3"/>
      </w:pPr>
      <w:r>
        <w:rPr>
          <w:b w:val="false"/>
          <w:bCs w:val="false"/>
        </w:rPr>
        <w:t xml:space="preserve">What's Deliberately Excluded From This Shortlist</w:t>
      </w:r>
    </w:p>
    <w:p>
      <w:pPr>
        <w:spacing w:after="200"/>
      </w:pPr>
      <w:r>
        <w:rPr>
          <w:b w:val="false"/>
          <w:bCs w:val="false"/>
        </w:rPr>
        <w:t xml:space="preserve">Full-service "automated bookkeeping" platforms (Bench-style, or Pilot.com-style outsourced-bookkeeping-as-a-service tools) were considered and excluded — they compete with Bellwood &amp; Cole's core service rather than augmenting it, and would undermine the firm's own advisory-shift strategy. General-purpose AI platforms without accounting-specific integrations (e.g., generic OCR APIs, raw LLM API access) were excluded because they would require custom integration work, which falls outside this engagement's scope (implementation and custom model builds are explicitly excluded) and would consume the one-time implementation budget on plumbing rather than adoption.</w:t>
      </w:r>
    </w:p>
    <w:p>
      <w:pPr>
        <w:pStyle w:val="Heading3"/>
      </w:pPr>
      <w:r>
        <w:rPr>
          <w:b w:val="false"/>
          <w:bCs w:val="false"/>
        </w:rPr>
        <w:t xml:space="preserve">Procurement Sequence for Monday Morning</w:t>
      </w:r>
    </w:p>
    <w:p>
      <w:pPr>
        <w:spacing w:after="80"/>
        <w:ind w:left="360"/>
      </w:pPr>
      <w:r>
        <w:rPr>
          <w:b w:val="false"/>
          <w:bCs w:val="false"/>
        </w:rPr>
        <w:t xml:space="preserve">•  </w:t>
      </w:r>
      <w:r>
        <w:rPr>
          <w:b/>
          <w:bCs/>
        </w:rPr>
        <w:t xml:space="preserve">This week:</w:t>
      </w:r>
      <w:r>
        <w:rPr>
          <w:b w:val="false"/>
          <w:bCs w:val="false"/>
        </w:rPr>
        <w:t xml:space="preserve"> Ops partner requests SOC 2 Type II reports from Fathom, Booke.ai, and Dext/Hubdoc before any contract discussion — this is the governance gate from the readiness assessment, applied here as a literal procurement step, not a formality.</w:t>
      </w:r>
    </w:p>
    <w:p>
      <w:pPr>
        <w:spacing w:after="80"/>
        <w:ind w:left="360"/>
      </w:pPr>
      <w:r>
        <w:rPr>
          <w:b w:val="false"/>
          <w:bCs w:val="false"/>
        </w:rPr>
        <w:t xml:space="preserve">•  </w:t>
      </w:r>
      <w:r>
        <w:rPr>
          <w:b/>
          <w:bCs/>
        </w:rPr>
        <w:t xml:space="preserve">Week 2:</w:t>
      </w:r>
      <w:r>
        <w:rPr>
          <w:b w:val="false"/>
          <w:bCs w:val="false"/>
        </w:rPr>
        <w:t xml:space="preserve"> Sign Fathom (or equivalent) and begin report-drafting pilot per the roadmap — lowest risk, fastest to deploy, no gating dependency.</w:t>
      </w:r>
    </w:p>
    <w:p>
      <w:pPr>
        <w:spacing w:after="80"/>
        <w:ind w:left="360"/>
      </w:pPr>
      <w:r>
        <w:rPr>
          <w:b w:val="false"/>
          <w:bCs w:val="false"/>
        </w:rPr>
        <w:t xml:space="preserve">•  </w:t>
      </w:r>
      <w:r>
        <w:rPr>
          <w:b/>
          <w:bCs/>
        </w:rPr>
        <w:t xml:space="preserve">Weeks 3–4:</w:t>
      </w:r>
      <w:r>
        <w:rPr>
          <w:b w:val="false"/>
          <w:bCs w:val="false"/>
        </w:rPr>
        <w:t xml:space="preserve"> Complete native QBO/Xero bank-rule configuration at zero cost; begin Booke.ai contract negotiation in parallel so it's ready to connect to pilot client files by week 5, per the roadmap's Phase 2 start date.</w:t>
      </w:r>
    </w:p>
    <w:p>
      <w:pPr>
        <w:spacing w:after="80"/>
        <w:ind w:left="360"/>
      </w:pPr>
      <w:r>
        <w:rPr>
          <w:b w:val="false"/>
          <w:bCs w:val="false"/>
        </w:rPr>
        <w:t xml:space="preserve">•  </w:t>
      </w:r>
      <w:r>
        <w:rPr>
          <w:b/>
          <w:bCs/>
        </w:rPr>
        <w:t xml:space="preserve">Weeks 3–4 (parallel):</w:t>
      </w:r>
      <w:r>
        <w:rPr>
          <w:b w:val="false"/>
          <w:bCs w:val="false"/>
        </w:rPr>
        <w:t xml:space="preserve"> Account managers complete the intake-channel audit; ops partner uses the result to choose between Hubdoc and Dext before any receipt-tool contract is signed.</w:t>
      </w:r>
    </w:p>
    <w:p>
      <w:pPr>
        <w:pStyle w:val="Heading1"/>
      </w:pPr>
      <w:r>
        <w:t xml:space="preserve">Risks &amp; Mitigations</w:t>
      </w:r>
    </w:p>
    <w:p>
      <w:pPr>
        <w:spacing w:after="200"/>
      </w:pPr>
      <w:r>
        <w:rPr>
          <w:b w:val="false"/>
          <w:bCs w:val="false"/>
        </w:rPr>
        <w:t xml:space="preserve">Every element of this roadmap depends on assumptions that could break in predictable, firm-specific ways. The risks below are drawn directly from the intake and analysis above — not generic AI-adoption boilerplate — because Bellwood &amp; Cole's specific mix of a skeptical partner, healthcare/legal clients, a tight budget, and fragmented receipt intake creates a distinct risk profile that a standard vendor-risk checklist would miss.</w:t>
      </w:r>
    </w:p>
    <w:p>
      <w:pPr>
        <w:spacing w:after="200"/>
      </w:pPr>
      <w:r>
        <w:rPr>
          <w:b/>
          <w:bCs/>
        </w:rPr>
        <w:t xml:space="preserve">The skeptical partner reverses course after initial buy-in.</w:t>
      </w:r>
      <w:r>
        <w:rPr>
          <w:b w:val="false"/>
          <w:bCs w:val="false"/>
        </w:rPr>
        <w:t xml:space="preserve"> The roadmap's entire trust-building sequence hinges on the skeptical partner personally reviewing 8–10 report-drafting cycles and signing off before Phase 2 begins. This is a real dependency, not a formality: if that partner encounters even one materially wrong AI-generated report during the pilot — say, a cash-flow narrative that misreads a one-time transaction as a trend — the credibility cost is asymmetric. One bad output can undo ten good ones, especially for someone already predisposed to distrust the category. Given the intake explicitly names this partner's skepticism as a live concern, this is a moderate-to-high likelihood event over a 90-day window purely because AI report drafts *will* occasionally be wrong; the question is whether the review process catches it before the partner sees it as a failure rather than a caught error. Mitigation: frame every caught error during the pilot explicitly as the review process working as designed, not as a tool failure — track and report the catch rate ("the review step caught 2 of 47 draft errors before client delivery") as a success metric, not a liability. This reframes mistakes as evidence the governance model works.</w:t>
      </w:r>
    </w:p>
    <w:p>
      <w:pPr>
        <w:spacing w:after="200"/>
      </w:pPr>
      <w:r>
        <w:rPr>
          <w:b/>
          <w:bCs/>
        </w:rPr>
        <w:t xml:space="preserve">Categorization tool accuracy is worse on edge cases than the pilot sample suggests.</w:t>
      </w:r>
      <w:r>
        <w:rPr>
          <w:b w:val="false"/>
          <w:bCs w:val="false"/>
        </w:rPr>
        <w:t xml:space="preserve"> The 10–15 pilot client files were chosen for "mixed complexity," but 14 bookkeepers handling client-specific chart-of-accounts quirks across an entire book of business will surface edge cases the pilot never touched — a healthcare client with a unique equipment-financing structure, a legal client with trust-accounting nuances. This is a moderate-likelihood, moderate-impact risk: the exception rate could look acceptable at 15 files and climb once scaled to 60+ client files in Phase 3. The cost isn't just rework time — it's the correction time potentially eating into the projected 4.5–7.2 hrs/week savings, which is the single largest lever toward the 15-hour objective. Mitigation: don't declare the categorization rollout "done" at the Phase 2 gate based on the 15-file exception rate alone; require the Phase 3 firm-wide rollout to include a rolling 30-day exception-rate tracker by client segment (healthcare, legal, general small business), so degradation is caught by client type before it erodes the aggregate time-savings number the partners will use to judge the whole initiative.</w:t>
      </w:r>
    </w:p>
    <w:p>
      <w:pPr>
        <w:spacing w:after="200"/>
      </w:pPr>
      <w:r>
        <w:rPr>
          <w:b/>
          <w:bCs/>
        </w:rPr>
        <w:t xml:space="preserve">A client's data gets mishandled and the firm's confidentiality promise is broken.</w:t>
      </w:r>
      <w:r>
        <w:rPr>
          <w:b w:val="false"/>
          <w:bCs w:val="false"/>
        </w:rPr>
        <w:t xml:space="preserve"> This is the lowest-likelihood but highest-severity risk on this list, and it's the one the entire governance section of this report was built around. Given that several clients are in healthcare and legal services, a single incident — even a minor one, like a vendor storing data outside its stated SOC 2 boundary — could cost Bellwood &amp; Cole clients disproportionate to the firm's size, given how trust-dependent this business is. The mitigation isn't new: it's the SOC 2-first procurement gate already built into the roadmap. But the real risk is process drift — someone connects a new tool or feature (e.g., a QBO app-marketplace integration Booke.ai adds later) without re-checking its compliance boundary. Mitigation: the named internal AI point of contact (from the governance policy) should own a standing rule that *any* new integration, feature update, or connected app touching client data requires a fresh SOC 2 scope check, not just a one-time approval at initial contract signing.</w:t>
      </w:r>
    </w:p>
    <w:p>
      <w:pPr>
        <w:spacing w:after="200"/>
      </w:pPr>
      <w:r>
        <w:rPr>
          <w:b/>
          <w:bCs/>
        </w:rPr>
        <w:t xml:space="preserve">Budget overrun once the firm tries to scale past the pilot.</w:t>
      </w:r>
      <w:r>
        <w:rPr>
          <w:b w:val="false"/>
          <w:bCs w:val="false"/>
        </w:rPr>
        <w:t xml:space="preserve"> The tool shortlist fits comfortably under $2,000/month at pilot scale, but vendor pricing for tools like Booke.ai and Dext is typically tiered by client-file count or transaction volume. As Bellwood &amp; Cole scales categorization and receipt automation from the ~15-file pilot to the full client book, per-client pricing could push the monthly bill toward or past the ceiling faster than anticipated — this is a moderate-likelihood risk given the pricing model, not a hypothetical one. Mitigation: before signing any tiered contract, get written pricing for the *next* tier up (i.e., full-book pricing, not just pilot pricing) so the partners are deciding with the Phase 3 cost already visible, not discovering it after they're dependent on the tool.</w:t>
      </w:r>
    </w:p>
    <w:p>
      <w:pPr>
        <w:spacing w:after="200"/>
      </w:pPr>
      <w:r>
        <w:rPr>
          <w:b/>
          <w:bCs/>
        </w:rPr>
        <w:t xml:space="preserve">The intake-channel consolidation attempt fails because clients don't change habits.</w:t>
      </w:r>
      <w:r>
        <w:rPr>
          <w:b w:val="false"/>
          <w:bCs w:val="false"/>
        </w:rPr>
        <w:t xml:space="preserve"> The receipt-automation use case assumes account managers can migrate a meaningful share of clients to a single upload channel. Given that some clients still mail paper — a strong signal of low tech engagement — asking them to adopt a new digital workflow is a real behavior-change ask, not an internal process tweak. This is a moderate-likelihood risk specifically for the lowest-tech-engagement client segment, and if migration stalls below the 70% target, the Dext fallback (multi-channel OCR) becomes necessary anyway, but later and more expensively than planned. Mitigation: treat the Phase 2 intake decision as a two-track plan from day one rather than a single bet — budget for Dext as the default assumption for the bottom 20–30% of clients (by tech engagement) regardless of what the broader audit shows, rather than assuming a clean single-channel outcome for the whole book.</w:t>
      </w:r>
    </w:p>
    <w:p>
      <w:pPr>
        <w:spacing w:after="200"/>
      </w:pPr>
      <w:r>
        <w:rPr>
          <w:b/>
          <w:bCs/>
        </w:rPr>
        <w:t xml:space="preserve">Staff resistance emerges below the partner level, among the "comfortable but not proactive" third of the team.</w:t>
      </w:r>
      <w:r>
        <w:rPr>
          <w:b w:val="false"/>
          <w:bCs w:val="false"/>
        </w:rPr>
        <w:t xml:space="preserve"> The roadmap invests heavily in converting the skeptical partner and activating the two curious staff accountants, but says less about the roughly one-third of the 14-person bookkeeping team who are technically capable but passive. This group's resistance is lower-visibility than a partner's, but their day-to-day cooperation determines whether categorization exceptions get logged accurately or just clicked through. Likelihood is moderate; impact is moderate but slow-building — it wouldn't derail the 90-day roadmap but could quietly undermine data quality in the exception-tracking the Phase 3 gate depends on. Mitigation: the Phase 3 training session (currently budgeted at 1 hour per staff member) should explicitly include time for this group to raise concerns and see the pilot leads' documented results, not just receive instructions — peer proof from the two pilot leads is more persuasive to this segment than partner mandate alone.</w:t>
      </w:r>
    </w:p>
    <w:p>
      <w:pPr>
        <w:spacing w:after="200"/>
      </w:pPr>
      <w:r>
        <w:rPr>
          <w:b/>
          <w:bCs/>
        </w:rPr>
        <w:t xml:space="preserve">Vendor-embedded AI in QBO/Xero improves enough to make the paid categorization tool redundant.</w:t>
      </w:r>
      <w:r>
        <w:rPr>
          <w:b w:val="false"/>
          <w:bCs w:val="false"/>
        </w:rPr>
        <w:t xml:space="preserve"> Given the research finding that QuickBooks and Xero are actively investing in native AI categorization, there's a real possibility that native capabilities close the gap with Booke.ai during the very 90 days this roadmap runs, undermining the case for the paid tool's incremental value. Likelihood is low-to-moderate within a 90-day window (platform AI improvements happen, but not usually fast enough to matter in one quarter) but worth flagging as a recurring reassessment point. Mitigation: the Phase 1 sequencing already asks pilot leads to exhaust native bank rules before deploying Booke.ai, which means the incremental-value question gets answered empirically in week 3, not assumed. If native rules close most of the gap, redirect the Booke.ai budget toward a Uncat-style exception-finder instead, or bank the savings rather than force-adopt a redundant tool.</w:t>
      </w:r>
    </w:p>
    <w:p>
      <w:pPr>
        <w:spacing w:after="200"/>
      </w:pPr>
      <w:r>
        <w:rPr>
          <w:b w:val="false"/>
          <w:bCs w:val="false"/>
        </w:rPr>
        <w:t xml:space="preserve">Beyond that platform-drift risk, five other categories of risk are material enough to name explicitly, each grounded in specifics from this engagement rather than generic implementation risk language.</w:t>
      </w:r>
    </w:p>
    <w:p>
      <w:pPr>
        <w:spacing w:after="200"/>
      </w:pPr>
      <w:r>
        <w:rPr>
          <w:b/>
          <w:bCs/>
        </w:rPr>
        <w:t xml:space="preserve">Adoption risk concentrated in one partner's veto power.</w:t>
      </w:r>
      <w:r>
        <w:rPr>
          <w:b w:val="false"/>
          <w:bCs w:val="false"/>
        </w:rPr>
        <w:t xml:space="preserve"> The skeptical partner's stated concern — AI accuracy for anything client-facing — is narrow and addressable, but if the report-drafting pilot produces even one visibly poor draft in front of that partner before trust is established, the entire sequencing strategy (built explicitly around winning this person over first) could collapse into a blanket "not yet" that stalls categorization and receipt automation too, since both were sequenced to follow the trust-building phase. Likelihood is moderate — early AI drafts commonly have rough edges, and 8–10 review cycles is not a large sample to guarantee a clean run. Impact is high, because this isn't just one workflow's setback; the roadmap's entire architecture depends on this partner's sign-off unlocking the following two phases. Mitigation: brief the skeptical partner in advance that early drafts will contain errors by design — frame the pilot explicitly as a QA exercise, not a demo, so a rough first draft confirms the review process is working rather than reading as tool failure. Additionally, seed the first 1–2 pilot cycles with the simplest clients (not the mixed-complexity sample originally proposed) to build initial confidence before introducing harder cases.</w:t>
      </w:r>
    </w:p>
    <w:p>
      <w:pPr>
        <w:spacing w:after="200"/>
      </w:pPr>
      <w:r>
        <w:rPr>
          <w:b/>
          <w:bCs/>
        </w:rPr>
        <w:t xml:space="preserve">Cost overrun from per-client pricing tiers.</w:t>
      </w:r>
      <w:r>
        <w:rPr>
          <w:b w:val="false"/>
          <w:bCs w:val="false"/>
        </w:rPr>
        <w:t xml:space="preserve"> Several shortlisted tools (Booke.ai, Fathom, Dext) price per client-file or per-user, and the cost estimates in the tool shortlist assume roughly stable client-file counts. Bellwood &amp; Cole doesn't operate in a vacuum — new client acquisition (one of the firm's own growth goals, implicitly, given the advisory-shift strategy) could push tool costs above the $2,000 ceiling faster than anticipated, particularly if categorization rollout succeeds and the firm wants to onboard the tool across 100% of client files rather than the initial 60–100 file estimate. Likelihood is moderate-to-high over a 12-month horizon, low within the 90-day window itself. Impact is moderate — this is a budget planning problem, not an existential one, but it could force an uncomfortable mid-rollout choice between full coverage and staying under budget. Mitigation: negotiate tiered or capped pricing at signing, not after the fact, and build a standing quarterly budget review into the ops partner's Day 90 review meeting (already scheduled in the roadmap) specifically to reassess tool costs against client-file growth.</w:t>
      </w:r>
    </w:p>
    <w:p>
      <w:pPr>
        <w:spacing w:after="200"/>
      </w:pPr>
      <w:r>
        <w:rPr>
          <w:b/>
          <w:bCs/>
        </w:rPr>
        <w:t xml:space="preserve">Data or systems limitations from the 15% Xero segment.</w:t>
      </w:r>
      <w:r>
        <w:rPr>
          <w:b w:val="false"/>
          <w:bCs w:val="false"/>
        </w:rPr>
        <w:t xml:space="preserve"> Every tool on the shortlist is evaluated as "QBO-native, Xero-compatible" — a deliberately softer bar for the smaller ledger platform. If Xero integration proves materially weaker in practice (common with accounting-firm tools that are built QBO-first and treat Xero as an afterthought), the firm risks a two-tiered experience where 85% of clients get full automation benefit and 15% get a degraded, more manual version — which is precisely the kind of inconsistency that erodes the case for firm-wide standardization. Likelihood is moderate; this is a known pattern in the vendor landscape, not a hypothetical. Impact is moderate — it affects a minority of clients but could concentrate frustration among specific account managers or staff who happen to hold more Xero files. Mitigation: explicitly test Xero-file performance during the Phase 2 categorization pilot (the 10–15 pilot files should intentionally include a proportional Xero sample, not just QBO files) and set a separate, lower success bar for the Xero segment if needed, rather than discovering the gap only after firm-wide rollout.</w:t>
      </w:r>
    </w:p>
    <w:p>
      <w:pPr>
        <w:spacing w:after="200"/>
      </w:pPr>
      <w:r>
        <w:rPr>
          <w:b/>
          <w:bCs/>
        </w:rPr>
        <w:t xml:space="preserve">Competitive response is largely not applicable in the traditional sense</w:t>
      </w:r>
      <w:r>
        <w:rPr>
          <w:b w:val="false"/>
          <w:bCs w:val="false"/>
        </w:rPr>
        <w:t xml:space="preserve">, since this is an internal efficiency initiative rather than a market-facing product launch — but a related version of this risk is real: competing bookkeeping firms serving similar small-business niches are likely pursuing similar automation paths concurrently (per the research section's finding that AI adoption is the top-flagged disruptive force industrywide), meaning the advisory-capacity advantage Bellwood &amp; Cole is trying to build could be matched by competitors on a similar timeline, eroding the differentiation value of hitting the 15-hour target. Likelihood is moderate; impact is low-to-moderate in the near term since this is a 90-day operational roadmap, not a market positioning campaign. Mitigation: treat the freed-up 15 hours/week as a starting point for building differentiated advisory offerings (cash flow forecasting, benchmarking) rather than assuming automation alone is durably differentiating — a natural next-phase recommendation beyond this sprint's scope.</w:t>
      </w:r>
    </w:p>
    <w:p>
      <w:pPr>
        <w:spacing w:after="200"/>
      </w:pPr>
      <w:r>
        <w:rPr>
          <w:b/>
          <w:bCs/>
        </w:rPr>
        <w:t xml:space="preserve">Organizational resistance beyond the named skeptic.</w:t>
      </w:r>
      <w:r>
        <w:rPr>
          <w:b w:val="false"/>
          <w:bCs w:val="false"/>
        </w:rPr>
        <w:t xml:space="preserve"> The intake identifies one skeptical partner explicitly, but also notes that roughly a third of the team is "comfortable with tech but not proactive" — a group that could passively under-adopt tools (using them inconsistently, reverting to manual habits under deadline pressure) without ever voicing objection, making this resistance harder to detect and address than the vocal skeptic. Likelihood is moderate-to-high, since passive non-adoption is a common failure mode in tool rollouts generally and this segment was flagged, not assumed. Impact is moderate — it wouldn't kill the initiative but could quietly cap realized time savings well below the 11.9–17.8 hour projection even if the tools themselves work. Mitigation: the Phase 3 training sessions should include explicit check-ins with this specific segment (not just the pilot leads) at the two-week mark post-rollout, and the ops partner's Day 90 review should look at usage data by staff member, not just aggregate hours-saved, to catch uneven adoption before it becomes entrenched habit.</w:t>
      </w:r>
    </w:p>
    <w:tbl>
      <w:tblPr>
        <w:tblW w:type="pct" w:w="100%"/>
        <w:tblBorders>
          <w:top w:val="single" w:color="auto" w:sz="4"/>
          <w:left w:val="single" w:color="auto" w:sz="4"/>
          <w:bottom w:val="single" w:color="auto" w:sz="4"/>
          <w:right w:val="single" w:color="auto" w:sz="4"/>
          <w:insideH w:val="single" w:color="auto" w:sz="4"/>
          <w:insideV w:val="single" w:color="auto" w:sz="4"/>
        </w:tblBorders>
      </w:tblPr>
      <w:tblGrid>
        <w:gridCol w:w="100"/>
        <w:gridCol w:w="100"/>
        <w:gridCol w:w="100"/>
        <w:gridCol w:w="100"/>
      </w:tblGrid>
      <w:tr>
        <w:tc>
          <w:p>
            <w:r>
              <w:rPr>
                <w:b/>
                <w:bCs/>
              </w:rPr>
              <w:t xml:space="preserve">Risk</w:t>
            </w:r>
          </w:p>
        </w:tc>
        <w:tc>
          <w:p>
            <w:r>
              <w:rPr>
                <w:b/>
                <w:bCs/>
              </w:rPr>
              <w:t xml:space="preserve">Likelihood</w:t>
            </w:r>
          </w:p>
        </w:tc>
        <w:tc>
          <w:p>
            <w:r>
              <w:rPr>
                <w:b/>
                <w:bCs/>
              </w:rPr>
              <w:t xml:space="preserve">Impact</w:t>
            </w:r>
          </w:p>
        </w:tc>
        <w:tc>
          <w:p>
            <w:r>
              <w:rPr>
                <w:b/>
                <w:bCs/>
              </w:rPr>
              <w:t xml:space="preserve">Mitigation</w:t>
            </w:r>
          </w:p>
        </w:tc>
      </w:tr>
      <w:tr>
        <w:tc>
          <w:p>
            <w:r>
              <w:rPr>
                <w:b w:val="false"/>
                <w:bCs w:val="false"/>
              </w:rPr>
              <w:t xml:space="preserve">Vendor platform (QBO/Xero) closes the native-vs-paid-tool gap during the pilot</w:t>
            </w:r>
          </w:p>
        </w:tc>
        <w:tc>
          <w:p>
            <w:r>
              <w:rPr>
                <w:b w:val="false"/>
                <w:bCs w:val="false"/>
              </w:rPr>
              <w:t xml:space="preserve">Low–Moderate</w:t>
            </w:r>
          </w:p>
        </w:tc>
        <w:tc>
          <w:p>
            <w:r>
              <w:rPr>
                <w:b w:val="false"/>
                <w:bCs w:val="false"/>
              </w:rPr>
              <w:t xml:space="preserve">Low–Moderate</w:t>
            </w:r>
          </w:p>
        </w:tc>
        <w:tc>
          <w:p>
            <w:r>
              <w:rPr>
                <w:b w:val="false"/>
                <w:bCs w:val="false"/>
              </w:rPr>
              <w:t xml:space="preserve">Exhaust native bank rules first (already sequenced in Phase 1); redirect budget if gap closes</w:t>
            </w:r>
          </w:p>
        </w:tc>
      </w:tr>
      <w:tr>
        <w:tc>
          <w:p>
            <w:r>
              <w:rPr>
                <w:b w:val="false"/>
                <w:bCs w:val="false"/>
              </w:rPr>
              <w:t xml:space="preserve">Skeptical partner's veto stalls the entire sequenced rollout after a rough early draft</w:t>
            </w:r>
          </w:p>
        </w:tc>
        <w:tc>
          <w:p>
            <w:r>
              <w:rPr>
                <w:b w:val="false"/>
                <w:bCs w:val="false"/>
              </w:rPr>
              <w:t xml:space="preserve">Moderate</w:t>
            </w:r>
          </w:p>
        </w:tc>
        <w:tc>
          <w:p>
            <w:r>
              <w:rPr>
                <w:b w:val="false"/>
                <w:bCs w:val="false"/>
              </w:rPr>
              <w:t xml:space="preserve">High</w:t>
            </w:r>
          </w:p>
        </w:tc>
        <w:tc>
          <w:p>
            <w:r>
              <w:rPr>
                <w:b w:val="false"/>
                <w:bCs w:val="false"/>
              </w:rPr>
              <w:t xml:space="preserve">Brief partner in advance that early drafts will have errors; start pilot with simplest clients first</w:t>
            </w:r>
          </w:p>
        </w:tc>
      </w:tr>
      <w:tr>
        <w:tc>
          <w:p>
            <w:r>
              <w:rPr>
                <w:b w:val="false"/>
                <w:bCs w:val="false"/>
              </w:rPr>
              <w:t xml:space="preserve">Per-client tool pricing pushes monthly cost above the $2,000 ceiling as client base grows</w:t>
            </w:r>
          </w:p>
        </w:tc>
        <w:tc>
          <w:p>
            <w:r>
              <w:rPr>
                <w:b w:val="false"/>
                <w:bCs w:val="false"/>
              </w:rPr>
              <w:t xml:space="preserve">Moderate–High (12-mo horizon)</w:t>
            </w:r>
          </w:p>
        </w:tc>
        <w:tc>
          <w:p>
            <w:r>
              <w:rPr>
                <w:b w:val="false"/>
                <w:bCs w:val="false"/>
              </w:rPr>
              <w:t xml:space="preserve">Moderate</w:t>
            </w:r>
          </w:p>
        </w:tc>
        <w:tc>
          <w:p>
            <w:r>
              <w:rPr>
                <w:b w:val="false"/>
                <w:bCs w:val="false"/>
              </w:rPr>
              <w:t xml:space="preserve">Negotiate capped/tiered pricing at signing; quarterly budget review at Day 90 and beyond</w:t>
            </w:r>
          </w:p>
        </w:tc>
      </w:tr>
      <w:tr>
        <w:tc>
          <w:p>
            <w:r>
              <w:rPr>
                <w:b w:val="false"/>
                <w:bCs w:val="false"/>
              </w:rPr>
              <w:t xml:space="preserve">Xero integration underperforms QBO integration, creating inconsistent client experience</w:t>
            </w:r>
          </w:p>
        </w:tc>
        <w:tc>
          <w:p>
            <w:r>
              <w:rPr>
                <w:b w:val="false"/>
                <w:bCs w:val="false"/>
              </w:rPr>
              <w:t xml:space="preserve">Moderate</w:t>
            </w:r>
          </w:p>
        </w:tc>
        <w:tc>
          <w:p>
            <w:r>
              <w:rPr>
                <w:b w:val="false"/>
                <w:bCs w:val="false"/>
              </w:rPr>
              <w:t xml:space="preserve">Moderate</w:t>
            </w:r>
          </w:p>
        </w:tc>
        <w:tc>
          <w:p>
            <w:r>
              <w:rPr>
                <w:b w:val="false"/>
                <w:bCs w:val="false"/>
              </w:rPr>
              <w:t xml:space="preserve">Include proportional Xero files in pilot sample; set segment-specific success bar</w:t>
            </w:r>
          </w:p>
        </w:tc>
      </w:tr>
      <w:tr>
        <w:tc>
          <w:p>
            <w:r>
              <w:rPr>
                <w:b w:val="false"/>
                <w:bCs w:val="false"/>
              </w:rPr>
              <w:t xml:space="preserve">Competitors pursue similar automation, eroding advisory-differentiation</w:t>
            </w:r>
          </w:p>
        </w:tc>
        <w:tc>
          <w:p>
            <w:r>
              <w:rPr>
                <w:b w:val="false"/>
                <w:bCs w:val="false"/>
              </w:rPr>
              <w:t xml:space="preserve">Moderate</w:t>
            </w:r>
          </w:p>
        </w:tc>
        <w:tc>
          <w:p>
            <w:r>
              <w:rPr>
                <w:b w:val="false"/>
                <w:bCs w:val="false"/>
              </w:rPr>
              <w:t xml:space="preserve">Moderate–High (long-term)</w:t>
            </w:r>
          </w:p>
        </w:tc>
        <w:tc>
          <w:p>
            <w:r>
              <w:rPr>
                <w:b w:val="false"/>
                <w:bCs w:val="false"/>
              </w:rPr>
              <w:t xml:space="preserve">Move quickly on advisory repositioning while automation is fresh, not after competitors close the gap</w:t>
            </w:r>
          </w:p>
        </w:tc>
      </w:tr>
      <w:tr>
        <w:tc>
          <w:p>
            <w:r>
              <w:rPr>
                <w:b w:val="false"/>
                <w:bCs w:val="false"/>
              </w:rPr>
              <w:t xml:space="preserve">Client resistance to changing document-submission habits</w:t>
            </w:r>
          </w:p>
        </w:tc>
        <w:tc>
          <w:p>
            <w:r>
              <w:rPr>
                <w:b w:val="false"/>
                <w:bCs w:val="false"/>
              </w:rPr>
              <w:t xml:space="preserve">Moderate</w:t>
            </w:r>
          </w:p>
        </w:tc>
        <w:tc>
          <w:p>
            <w:r>
              <w:rPr>
                <w:b w:val="false"/>
                <w:bCs w:val="false"/>
              </w:rPr>
              <w:t xml:space="preserve">Low–Moderate</w:t>
            </w:r>
          </w:p>
        </w:tc>
        <w:tc>
          <w:p>
            <w:r>
              <w:rPr>
                <w:b w:val="false"/>
                <w:bCs w:val="false"/>
              </w:rPr>
              <w:t xml:space="preserve">Frame channel change as a service improvement; offer white-glove transition support for resistant clients</w:t>
            </w:r>
          </w:p>
        </w:tc>
      </w:tr>
      <w:tr>
        <w:tc>
          <w:p>
            <w:r>
              <w:rPr>
                <w:b w:val="false"/>
                <w:bCs w:val="false"/>
              </w:rPr>
              <w:t xml:space="preserve">Staff burnout/skepticism beyond the one identified partner</w:t>
            </w:r>
          </w:p>
        </w:tc>
        <w:tc>
          <w:p>
            <w:r>
              <w:rPr>
                <w:b w:val="false"/>
                <w:bCs w:val="false"/>
              </w:rPr>
              <w:t xml:space="preserve">Low–Moderate</w:t>
            </w:r>
          </w:p>
        </w:tc>
        <w:tc>
          <w:p>
            <w:r>
              <w:rPr>
                <w:b w:val="false"/>
                <w:bCs w:val="false"/>
              </w:rPr>
              <w:t xml:space="preserve">Moderate</w:t>
            </w:r>
          </w:p>
        </w:tc>
        <w:tc>
          <w:p>
            <w:r>
              <w:rPr>
                <w:b w:val="false"/>
                <w:bCs w:val="false"/>
              </w:rPr>
              <w:t xml:space="preserve">Monitor sentiment via biweekly pilot-lead check-ins; surface concerns before they harden into resistance</w:t>
            </w:r>
          </w:p>
        </w:tc>
      </w:tr>
    </w:tbl>
    <w:p>
      <w:pPr>
        <w:spacing w:after="120"/>
      </w:pPr>
    </w:p>
    <w:p>
      <w:pPr>
        <w:spacing w:after="200"/>
      </w:pPr>
      <w:r>
        <w:rPr>
          <w:b w:val="false"/>
          <w:bCs w:val="false"/>
        </w:rPr>
        <w:t xml:space="preserve">Beyond the tool selection and roadmap sequencing already built into this plan, five categories of risk deserve explicit attention because each has a plausible failure path specific to Bellwood &amp; Cole's situation — not because every AI adoption effort faces identical risks.</w:t>
      </w:r>
    </w:p>
    <w:p>
      <w:pPr>
        <w:spacing w:after="200"/>
      </w:pPr>
      <w:r>
        <w:rPr>
          <w:b/>
          <w:bCs/>
        </w:rPr>
        <w:t xml:space="preserve">Adoption risk concentrated in one person.</w:t>
      </w:r>
      <w:r>
        <w:rPr>
          <w:b w:val="false"/>
          <w:bCs w:val="false"/>
        </w:rPr>
        <w:t xml:space="preserve"> The single most consequential risk in this entire roadmap is not technical — it's that the skeptical partner's buy-in, engineered carefully through the report-drafting pilot sequence, fails to materialize even after seeing clean review cycles. In a two-partner firm, one partner's continued resistance doesn't just slow adoption, it can functionally veto client-facing rollout indefinitely, since major client-facing changes at a 22-person trust-based firm plausibly require both partners' comfort even if only one holds formal authority. The likelihood of this is moderate: the roadmap's design (limiting the pilot to internal drafts, putting the partner in the reviewer seat, requiring explicit sign-off rather than passive non-objection) is specifically built to convert skepticism into evidence-based confidence, but accuracy concerns rooted in professional liability worries don't always yield to a handful of clean pilot cycles, especially for a partner whose name is on client deliverables. The mitigation already embedded in the roadmap — giving the partner review authority rather than asking for trust — is the right first move, but it should be paired with a fallback: if Day 30 sign-off doesn't happen, the ops partner should run a structured conversation to identify precisely which failure mode worries the skeptical partner (wrong numbers, tone mismatch, liability exposure) and design a narrower pilot that targets that specific concern, rather than re-running the same pilot and hoping for a different outcome.</w:t>
      </w:r>
    </w:p>
    <w:p>
      <w:pPr>
        <w:spacing w:after="200"/>
      </w:pPr>
      <w:r>
        <w:rPr>
          <w:b/>
          <w:bCs/>
        </w:rPr>
        <w:t xml:space="preserve">Cost overrun from per-client pricing tiers.</w:t>
      </w:r>
      <w:r>
        <w:rPr>
          <w:b w:val="false"/>
          <w:bCs w:val="false"/>
        </w:rPr>
        <w:t xml:space="preserve"> The tool shortlist's budget math ($450–$1,400/month) assumes current client-file counts. Both Booke.ai and Dext price by client/transaction volume, and Bellwood &amp; Cole's own stated goal — freeing senior time for advisory work — is implicitly a growth strategy; if it succeeds, the client base likely grows, and per-client pricing tiers could push costs past the $2,000 ceiling within 12 months, precisely because the initiative worked. This is a moderate-to-high likelihood risk on a 12-month horizon, though low likelihood within the 90-day roadmap itself. The mitigation is procedural: negotiate tiered or capped pricing at initial signing rather than accepting default per-client rates, and build a quarterly budget review into the cadence established at the Day 90 milestone, so cost creep is caught and renegotiated before it becomes a crisis rather than discovered at annual renewal.</w:t>
      </w:r>
    </w:p>
    <w:p>
      <w:pPr>
        <w:spacing w:after="200"/>
      </w:pPr>
      <w:r>
        <w:rPr>
          <w:b/>
          <w:bCs/>
        </w:rPr>
        <w:t xml:space="preserve">Data/systems limitation: Xero as the underserved 15%.</w:t>
      </w:r>
      <w:r>
        <w:rPr>
          <w:b w:val="false"/>
          <w:bCs w:val="false"/>
        </w:rPr>
        <w:t xml:space="preserve"> Every tool on the shortlist is evaluated for QBO-native integration first, with Xero compatibility as a secondary pass/fail bar. This is the correct prioritization given the 85/15 split, but it creates real risk that the pilot's success metrics look strong in aggregate while masking a materially worse experience for the ~15% of clients on Xero — the categorization tool's exception rate, for instance, could sit comfortably below the 15% threshold overall while running well above it specifically on Xero files, since the vendor's own product roadmap likely prioritizes QBO. This is a moderate-likelihood risk given how shortlist vendors are described (QBO-first design is common industry pattern), with moderate impact — inconsistent client experience within the same firm is a reputational and operational headache, not an existential one. The mitigation is to intentionally over-sample Xero files in the categorization pilot (the roadmap already specifies "mix of QBO majority, Xero ~15%" for the 10-15 pilot files — this should mean at minimum 2-3 Xero files, not a token single file) and set a Xero-specific success bar rather than only a blended one, so a Xero-specific problem doesn't hide inside a passing aggregate number.</w:t>
      </w:r>
    </w:p>
    <w:p>
      <w:pPr>
        <w:spacing w:after="200"/>
      </w:pPr>
      <w:r>
        <w:rPr>
          <w:b/>
          <w:bCs/>
        </w:rPr>
        <w:t xml:space="preserve">Competitive response eroding the advisory differentiation strategy.</w:t>
      </w:r>
      <w:r>
        <w:rPr>
          <w:b w:val="false"/>
          <w:bCs w:val="false"/>
        </w:rPr>
        <w:t xml:space="preserve"> The research section notes that QBO and Xero are shipping AI categorization features directly into their platforms, and that DIY/automated bookkeeping platforms are commoditizing pure transactional work. If Bellwood &amp; Cole spends 90 days building categorization and reporting automation but doesn't simultaneously develop the advisory service offerings the freed time is meant to enable, competitors — including clients' own awareness that "the software already does this" — could compress the fee premium the firm currently charges for bookkeeping before the advisory pivot generates offsetting revenue. This is a moderate-likelihood, moderate-to-high long-term impact risk that sits outside this sprint's explicit scope (advisory service design isn't part of this engagement) but is a direct consequence of succeeding at it. The mitigation: the partners should treat the Day 90 review not just as a "did automation work" checkpoint but as the trigger to begin scoping what advisory services absorb the freed 12-17 hours/week — ideally starting that scoping conversation in parallel with Phase 3, not after, so there's a concrete advisory offering ready to deploy the moment capacity is freed, rather than a gap where staff have idle hours and no redirected mandate.</w:t>
      </w:r>
    </w:p>
    <w:p>
      <w:pPr>
        <w:spacing w:after="200"/>
      </w:pPr>
      <w:r>
        <w:rPr>
          <w:b/>
          <w:bCs/>
        </w:rPr>
        <w:t xml:space="preserve">Organizational resistance beyond the named skeptic.</w:t>
      </w:r>
      <w:r>
        <w:rPr>
          <w:b w:val="false"/>
          <w:bCs w:val="false"/>
        </w:rPr>
        <w:t xml:space="preserve"> The intake identifies one skeptical partner explicitly, but the "about a third of the team comfortable with tech but not proactive" segment represents a quieter, more diffuse resistance risk — not opposition, but passive non-adoption, where staff nominally use the new tools but default back to manual habits under time pressure, especially during the Phase 2/3 rollout when training is compressed into a single 1-hour session per the roadmap. This is a low-to-moderate likelihood risk with moderate impact: it wouldn't derail the pilot data (which relies on the two committed pilot leads), but it could mean the firm-wide rollout in Phase 3 underdelivers relative to the pilot's promising numbers, since pilot leads self-selected for enthusiasm in a way the broader team didn't. The mitigation is to use the biweekly pilot-lead check-ins not just to track tool performance but explicitly to surface early signs of quiet non-adoption among the broader 12-person bookkeeping team once Phase 3 rollout begins, and to have the pilot leads — peers, not partners — handle the Phase 3 training session, since peer-led rollout tends to overcome passive resistance more effectively than partner-mandated rollout in team dynamics like this one.</w:t>
      </w:r>
    </w:p>
    <w:p>
      <w:pPr>
        <w:spacing w:after="200"/>
      </w:pPr>
      <w:r>
        <w:rPr>
          <w:b w:val="false"/>
          <w:bCs w:val="false"/>
        </w:rPr>
        <w:t xml:space="preserve">Taken together, these five risks share a common thread: none of them are primarily technology risks. The tools on the shortlist are proven, SOC 2-attested, and pur</w:t>
      </w:r>
    </w:p>
    <w:p>
      <w:pPr>
        <w:pStyle w:val="Heading1"/>
      </w:pPr>
      <w:r>
        <w:t xml:space="preserve">90-Day Action Plan</w:t>
      </w:r>
    </w:p>
    <w:p>
      <w:pPr>
        <w:spacing w:after="200"/>
      </w:pPr>
      <w:r>
        <w:rPr>
          <w:b w:val="false"/>
          <w:bCs w:val="false"/>
        </w:rPr>
        <w:t xml:space="preserve">Every action item below traces directly to a recommendation made earlier in this report — the readiness assessment's governance gap, the weighted use-case prioritization, the phased roadmap logic, the tool shortlist's procurement sequence, and the risk mitigations. Nothing new is introduced here; this section operationalizes what has already been decided into a single execution reference the partners can run from day one.</w:t>
      </w:r>
    </w:p>
    <w:p>
      <w:pPr>
        <w:spacing w:after="200"/>
      </w:pPr>
      <w:r>
        <w:rPr>
          <w:b w:val="false"/>
          <w:bCs w:val="false"/>
        </w:rPr>
        <w:t xml:space="preserve">The plan is organized into three 30-day horizons, consistent with the Crawl-Walk-Run structure established earlier. Each action names an owner by role, an effort estimate, and a concrete milestone — the same discipline used throughout the roadmap section, now consolidated into one table for easy tracking. Total internal effort across 90 days remains modest: roughly 20–25 staff-hours in the first 30 days, rising as tool rollout begins in Phase 2, with no action requiring specialized skills beyond what the team already has.</w:t>
      </w:r>
    </w:p>
    <w:p>
      <w:pPr>
        <w:spacing w:after="200"/>
      </w:pPr>
      <w:r>
        <w:rPr>
          <w:b/>
          <w:bCs/>
        </w:rPr>
        <w:t xml:space="preserve">0–30 Days: Governance and Trust-Building Foundation</w:t>
      </w:r>
    </w:p>
    <w:p>
      <w:pPr>
        <w:spacing w:after="200"/>
      </w:pPr>
      <w:r>
        <w:rPr>
          <w:b w:val="false"/>
          <w:bCs w:val="false"/>
        </w:rPr>
        <w:t xml:space="preserve">The first 30 days deliberately prioritize permission and proof over deployment breadth, per the readiness assessment's core finding that Bellwood &amp; Cole's real constraint is organizational, not technical. Nothing in this window commits meaningful tool spend — the report-drafting pilot uses low-cost tooling, and categorization vendor selection is diligence work, not procurement. This preserves budget flexibility while the firm builds the governance and trust infrastructure everything else depends on.</w:t>
      </w:r>
    </w:p>
    <w:p>
      <w:pPr>
        <w:spacing w:after="200"/>
      </w:pPr>
      <w:r>
        <w:rPr>
          <w:b w:val="false"/>
          <w:bCs w:val="false"/>
        </w:rPr>
        <w:t xml:space="preserve">The single highest-leverage action in this window is the AI Data Handling Policy. Without it, every subsequent action — vendor selection, pilot data connections, staff training — lacks a defined boundary, which the readiness assessment identified as the actual root cause of stalled adoption (not skill, not appetite). Equally important is assigning the skeptical partner to the report-drafting reviewer seat immediately, since the entire 90-day sequence depends on that partner's Day 30 sign-off to unlock Phase 2.</w:t>
      </w:r>
    </w:p>
    <w:p>
      <w:pPr>
        <w:spacing w:after="200"/>
      </w:pPr>
      <w:r>
        <w:rPr>
          <w:b/>
          <w:bCs/>
        </w:rPr>
        <w:t xml:space="preserve">31–60 Days: Categorization Launch and Report-Drafting Scale-Up</w:t>
      </w:r>
    </w:p>
    <w:p>
      <w:pPr>
        <w:spacing w:after="200"/>
      </w:pPr>
      <w:r>
        <w:rPr>
          <w:b w:val="false"/>
          <w:bCs w:val="false"/>
        </w:rPr>
        <w:t xml:space="preserve">This phase begins only after the Phase 1 gate clears — a discipline explicitly built into the roadmap to avoid the false-start risk flagged in the risks section. Categorization is the largest single lever toward the 15-hour objective (4.5–7.2 hrs/week projected), so this window front-loads it once governance and vendor diligence are complete. Report drafting scales from pilot to firm-wide in parallel, since it carries near-zero governance risk and no reason to delay once the skeptical partner has signed off.</w:t>
      </w:r>
    </w:p>
    <w:p>
      <w:pPr>
        <w:spacing w:after="200"/>
      </w:pPr>
      <w:r>
        <w:rPr>
          <w:b w:val="false"/>
          <w:bCs w:val="false"/>
        </w:rPr>
        <w:t xml:space="preserve">The intake-channel audit and consolidation decision also land here, because receipt automation cannot proceed without it — deploying OCR against fragmented intake channels would underperform the benchmark reduction range, per the root-cause analysis. This phase is where monthly tool spend actually begins, budgeted against the shortlist's consolidated view.</w:t>
      </w:r>
    </w:p>
    <w:p>
      <w:pPr>
        <w:spacing w:after="200"/>
      </w:pPr>
      <w:r>
        <w:rPr>
          <w:b/>
          <w:bCs/>
        </w:rPr>
        <w:t xml:space="preserve">61–90 Days: Full Rollout and Baseline for Next Phase</w:t>
      </w:r>
    </w:p>
    <w:p>
      <w:pPr>
        <w:spacing w:after="200"/>
      </w:pPr>
      <w:r>
        <w:rPr>
          <w:b w:val="false"/>
          <w:bCs w:val="false"/>
        </w:rPr>
        <w:t xml:space="preserve">The final phase extends categorization to all 14 bookkeeping staff, deploys the receipt-capture tool selected by the Phase 2 audit outcome, and — critically — measures actual results against the 11.9–17.8 hour projection rather than assuming the projection holds. This phase also opens the two items explicitly deferred earlier: onboarding-baseline tracking (flagged as unquantified and not core to this 90-day window) and the Day 90 partner review, which functions as the formal go/no-go for scaling into the next quarter.</w:t>
      </w:r>
    </w:p>
    <w:tbl>
      <w:tblPr>
        <w:tblW w:type="pct" w:w="100%"/>
        <w:tblBorders>
          <w:top w:val="single" w:color="auto" w:sz="4"/>
          <w:left w:val="single" w:color="auto" w:sz="4"/>
          <w:bottom w:val="single" w:color="auto" w:sz="4"/>
          <w:right w:val="single" w:color="auto" w:sz="4"/>
          <w:insideH w:val="single" w:color="auto" w:sz="4"/>
          <w:insideV w:val="single" w:color="auto" w:sz="4"/>
        </w:tblBorders>
      </w:tblPr>
      <w:tblGrid>
        <w:gridCol w:w="100"/>
        <w:gridCol w:w="100"/>
        <w:gridCol w:w="100"/>
        <w:gridCol w:w="100"/>
        <w:gridCol w:w="100"/>
      </w:tblGrid>
      <w:tr>
        <w:tc>
          <w:p>
            <w:r>
              <w:rPr>
                <w:b/>
                <w:bCs/>
              </w:rPr>
              <w:t xml:space="preserve">Days</w:t>
            </w:r>
          </w:p>
        </w:tc>
        <w:tc>
          <w:p>
            <w:r>
              <w:rPr>
                <w:b/>
                <w:bCs/>
              </w:rPr>
              <w:t xml:space="preserve">Action</w:t>
            </w:r>
          </w:p>
        </w:tc>
        <w:tc>
          <w:p>
            <w:r>
              <w:rPr>
                <w:b/>
                <w:bCs/>
              </w:rPr>
              <w:t xml:space="preserve">Owner (role)</w:t>
            </w:r>
          </w:p>
        </w:tc>
        <w:tc>
          <w:p>
            <w:r>
              <w:rPr>
                <w:b/>
                <w:bCs/>
              </w:rPr>
              <w:t xml:space="preserve">Effort</w:t>
            </w:r>
          </w:p>
        </w:tc>
        <w:tc>
          <w:p>
            <w:r>
              <w:rPr>
                <w:b/>
                <w:bCs/>
              </w:rPr>
              <w:t xml:space="preserve">Milestone / Done-when</w:t>
            </w:r>
          </w:p>
        </w:tc>
      </w:tr>
      <w:tr>
        <w:tc>
          <w:p>
            <w:r>
              <w:rPr>
                <w:b w:val="false"/>
                <w:bCs w:val="false"/>
              </w:rPr>
              <w:t xml:space="preserve">1–7</w:t>
            </w:r>
          </w:p>
        </w:tc>
        <w:tc>
          <w:p>
            <w:r>
              <w:rPr>
                <w:b w:val="false"/>
                <w:bCs w:val="false"/>
              </w:rPr>
              <w:t xml:space="preserve">Draft and ratify one-page AI Data Handling Policy</w:t>
            </w:r>
          </w:p>
        </w:tc>
        <w:tc>
          <w:p>
            <w:r>
              <w:rPr>
                <w:b w:val="false"/>
                <w:bCs w:val="false"/>
              </w:rPr>
              <w:t xml:space="preserve">Ops-focused partner</w:t>
            </w:r>
          </w:p>
        </w:tc>
        <w:tc>
          <w:p>
            <w:r>
              <w:rPr>
                <w:b w:val="false"/>
                <w:bCs w:val="false"/>
              </w:rPr>
              <w:t xml:space="preserve">3–4 hrs drafting + 1 meeting</w:t>
            </w:r>
          </w:p>
        </w:tc>
        <w:tc>
          <w:p>
            <w:r>
              <w:rPr>
                <w:b w:val="false"/>
                <w:bCs w:val="false"/>
              </w:rPr>
              <w:t xml:space="preserve">Signed policy; named internal AI point of contact</w:t>
            </w:r>
          </w:p>
        </w:tc>
      </w:tr>
      <w:tr>
        <w:tc>
          <w:p>
            <w:r>
              <w:rPr>
                <w:b w:val="false"/>
                <w:bCs w:val="false"/>
              </w:rPr>
              <w:t xml:space="preserve">1–7</w:t>
            </w:r>
          </w:p>
        </w:tc>
        <w:tc>
          <w:p>
            <w:r>
              <w:rPr>
                <w:b w:val="false"/>
                <w:bCs w:val="false"/>
              </w:rPr>
              <w:t xml:space="preserve">Brief skeptical partner; assign as designated reviewer for report-drafting pilot</w:t>
            </w:r>
          </w:p>
        </w:tc>
        <w:tc>
          <w:p>
            <w:r>
              <w:rPr>
                <w:b w:val="false"/>
                <w:bCs w:val="false"/>
              </w:rPr>
              <w:t xml:space="preserve">Ops-focused partner</w:t>
            </w:r>
          </w:p>
        </w:tc>
        <w:tc>
          <w:p>
            <w:r>
              <w:rPr>
                <w:b w:val="false"/>
                <w:bCs w:val="false"/>
              </w:rPr>
              <w:t xml:space="preserve">30 min</w:t>
            </w:r>
          </w:p>
        </w:tc>
        <w:tc>
          <w:p>
            <w:r>
              <w:rPr>
                <w:b w:val="false"/>
                <w:bCs w:val="false"/>
              </w:rPr>
              <w:t xml:space="preserve">Partner formally in reviewer role, not bystander</w:t>
            </w:r>
          </w:p>
        </w:tc>
      </w:tr>
      <w:tr>
        <w:tc>
          <w:p>
            <w:r>
              <w:rPr>
                <w:b w:val="false"/>
                <w:bCs w:val="false"/>
              </w:rPr>
              <w:t xml:space="preserve">1–7</w:t>
            </w:r>
          </w:p>
        </w:tc>
        <w:tc>
          <w:p>
            <w:r>
              <w:rPr>
                <w:b w:val="false"/>
                <w:bCs w:val="false"/>
              </w:rPr>
              <w:t xml:space="preserve">Name two staff accountants as categorization pilot leads, in writing</w:t>
            </w:r>
          </w:p>
        </w:tc>
        <w:tc>
          <w:p>
            <w:r>
              <w:rPr>
                <w:b w:val="false"/>
                <w:bCs w:val="false"/>
              </w:rPr>
              <w:t xml:space="preserve">Ops-focused partner</w:t>
            </w:r>
          </w:p>
        </w:tc>
        <w:tc>
          <w:p>
            <w:r>
              <w:rPr>
                <w:b w:val="false"/>
                <w:bCs w:val="false"/>
              </w:rPr>
              <w:t xml:space="preserve">15 min</w:t>
            </w:r>
          </w:p>
        </w:tc>
        <w:tc>
          <w:p>
            <w:r>
              <w:rPr>
                <w:b w:val="false"/>
                <w:bCs w:val="false"/>
              </w:rPr>
              <w:t xml:space="preserve">Written designation; 3 hrs/week pilot time authorized</w:t>
            </w:r>
          </w:p>
        </w:tc>
      </w:tr>
      <w:tr>
        <w:tc>
          <w:p>
            <w:r>
              <w:rPr>
                <w:b w:val="false"/>
                <w:bCs w:val="false"/>
              </w:rPr>
              <w:t xml:space="preserve">7–14</w:t>
            </w:r>
          </w:p>
        </w:tc>
        <w:tc>
          <w:p>
            <w:r>
              <w:rPr>
                <w:b w:val="false"/>
                <w:bCs w:val="false"/>
              </w:rPr>
              <w:t xml:space="preserve">Select 3–5 mixed-complexity clients for report-drafting pilot</w:t>
            </w:r>
          </w:p>
        </w:tc>
        <w:tc>
          <w:p>
            <w:r>
              <w:rPr>
                <w:b w:val="false"/>
                <w:bCs w:val="false"/>
              </w:rPr>
              <w:t xml:space="preserve">Account managers + ops partner</w:t>
            </w:r>
          </w:p>
        </w:tc>
        <w:tc>
          <w:p>
            <w:r>
              <w:rPr>
                <w:b w:val="false"/>
                <w:bCs w:val="false"/>
              </w:rPr>
              <w:t xml:space="preserve">2 hrs</w:t>
            </w:r>
          </w:p>
        </w:tc>
        <w:tc>
          <w:p>
            <w:r>
              <w:rPr>
                <w:b w:val="false"/>
                <w:bCs w:val="false"/>
              </w:rPr>
              <w:t xml:space="preserve">Pilot client list finalized</w:t>
            </w:r>
          </w:p>
        </w:tc>
      </w:tr>
      <w:tr>
        <w:tc>
          <w:p>
            <w:r>
              <w:rPr>
                <w:b w:val="false"/>
                <w:bCs w:val="false"/>
              </w:rPr>
              <w:t xml:space="preserve">7–14</w:t>
            </w:r>
          </w:p>
        </w:tc>
        <w:tc>
          <w:p>
            <w:r>
              <w:rPr>
                <w:b w:val="false"/>
                <w:bCs w:val="false"/>
              </w:rPr>
              <w:t xml:space="preserve">Configure report-drafting tool (Fathom) against QBO/Xero exports</w:t>
            </w:r>
          </w:p>
        </w:tc>
        <w:tc>
          <w:p>
            <w:r>
              <w:rPr>
                <w:b w:val="false"/>
                <w:bCs w:val="false"/>
              </w:rPr>
              <w:t xml:space="preserve">Account managers</w:t>
            </w:r>
          </w:p>
        </w:tc>
        <w:tc>
          <w:p>
            <w:r>
              <w:rPr>
                <w:b w:val="false"/>
                <w:bCs w:val="false"/>
              </w:rPr>
              <w:t xml:space="preserve">4–6 hrs setup</w:t>
            </w:r>
          </w:p>
        </w:tc>
        <w:tc>
          <w:p>
            <w:r>
              <w:rPr>
                <w:b w:val="false"/>
                <w:bCs w:val="false"/>
              </w:rPr>
              <w:t xml:space="preserve">First AI-drafted report produced internally</w:t>
            </w:r>
          </w:p>
        </w:tc>
      </w:tr>
      <w:tr>
        <w:tc>
          <w:p>
            <w:r>
              <w:rPr>
                <w:b w:val="false"/>
                <w:bCs w:val="false"/>
              </w:rPr>
              <w:t xml:space="preserve">14–28</w:t>
            </w:r>
          </w:p>
        </w:tc>
        <w:tc>
          <w:p>
            <w:r>
              <w:rPr>
                <w:b w:val="false"/>
                <w:bCs w:val="false"/>
              </w:rPr>
              <w:t xml:space="preserve">Run 4 weekly report-draft review cycles with skeptical partner</w:t>
            </w:r>
          </w:p>
        </w:tc>
        <w:tc>
          <w:p>
            <w:r>
              <w:rPr>
                <w:b w:val="false"/>
                <w:bCs w:val="false"/>
              </w:rPr>
              <w:t xml:space="preserve">Skeptical partner + account managers</w:t>
            </w:r>
          </w:p>
        </w:tc>
        <w:tc>
          <w:p>
            <w:r>
              <w:rPr>
                <w:b w:val="false"/>
                <w:bCs w:val="false"/>
              </w:rPr>
              <w:t xml:space="preserve">1 hr/week</w:t>
            </w:r>
          </w:p>
        </w:tc>
        <w:tc>
          <w:p>
            <w:r>
              <w:rPr>
                <w:b w:val="false"/>
                <w:bCs w:val="false"/>
              </w:rPr>
              <w:t xml:space="preserve">8–10 logged draft-vs-manual comparisons</w:t>
            </w:r>
          </w:p>
        </w:tc>
      </w:tr>
      <w:tr>
        <w:tc>
          <w:p>
            <w:r>
              <w:rPr>
                <w:b w:val="false"/>
                <w:bCs w:val="false"/>
              </w:rPr>
              <w:t xml:space="preserve">14–28</w:t>
            </w:r>
          </w:p>
        </w:tc>
        <w:tc>
          <w:p>
            <w:r>
              <w:rPr>
                <w:b w:val="false"/>
                <w:bCs w:val="false"/>
              </w:rPr>
              <w:t xml:space="preserve">Request SOC 2 Type II reports and complete vendor diligence for categorization tool</w:t>
            </w:r>
          </w:p>
        </w:tc>
        <w:tc>
          <w:p>
            <w:r>
              <w:rPr>
                <w:b w:val="false"/>
                <w:bCs w:val="false"/>
              </w:rPr>
              <w:t xml:space="preserve">Ops-focused partner</w:t>
            </w:r>
          </w:p>
        </w:tc>
        <w:tc>
          <w:p>
            <w:r>
              <w:rPr>
                <w:b w:val="false"/>
                <w:bCs w:val="false"/>
              </w:rPr>
              <w:t xml:space="preserve">3–4 hrs</w:t>
            </w:r>
          </w:p>
        </w:tc>
        <w:tc>
          <w:p>
            <w:r>
              <w:rPr>
                <w:b w:val="false"/>
                <w:bCs w:val="false"/>
              </w:rPr>
              <w:t xml:space="preserve">Booke.ai (or equivalent) selected, attestation on file</w:t>
            </w:r>
          </w:p>
        </w:tc>
      </w:tr>
      <w:tr>
        <w:tc>
          <w:p>
            <w:r>
              <w:rPr>
                <w:b w:val="false"/>
                <w:bCs w:val="false"/>
              </w:rPr>
              <w:t xml:space="preserve">21–28</w:t>
            </w:r>
          </w:p>
        </w:tc>
        <w:tc>
          <w:p>
            <w:r>
              <w:rPr>
                <w:b w:val="false"/>
                <w:bCs w:val="false"/>
              </w:rPr>
              <w:t xml:space="preserve">Complete client-by-intake-channel audit</w:t>
            </w:r>
          </w:p>
        </w:tc>
        <w:tc>
          <w:p>
            <w:r>
              <w:rPr>
                <w:b w:val="false"/>
                <w:bCs w:val="false"/>
              </w:rPr>
              <w:t xml:space="preserve">4 account managers</w:t>
            </w:r>
          </w:p>
        </w:tc>
        <w:tc>
          <w:p>
            <w:r>
              <w:rPr>
                <w:b w:val="false"/>
                <w:bCs w:val="false"/>
              </w:rPr>
              <w:t xml:space="preserve">~30 min each (2 hrs total)</w:t>
            </w:r>
          </w:p>
        </w:tc>
        <w:tc>
          <w:p>
            <w:r>
              <w:rPr>
                <w:b w:val="false"/>
                <w:bCs w:val="false"/>
              </w:rPr>
              <w:t xml:space="preserve">Channel audit table complete</w:t>
            </w:r>
          </w:p>
        </w:tc>
      </w:tr>
      <w:tr>
        <w:tc>
          <w:p>
            <w:r>
              <w:rPr>
                <w:b w:val="false"/>
                <w:bCs w:val="false"/>
              </w:rPr>
              <w:t xml:space="preserve">Day 30</w:t>
            </w:r>
          </w:p>
        </w:tc>
        <w:tc>
          <w:p>
            <w:r>
              <w:rPr>
                <w:b/>
                <w:bCs/>
              </w:rPr>
              <w:t xml:space="preserve">Gate:</w:t>
            </w:r>
            <w:r>
              <w:rPr>
                <w:b w:val="false"/>
                <w:bCs w:val="false"/>
              </w:rPr>
              <w:t xml:space="preserve"> ≥80% "minor edits only" rate on report drafts; skeptical partner signs off</w:t>
            </w:r>
          </w:p>
        </w:tc>
        <w:tc>
          <w:p>
            <w:r>
              <w:rPr>
                <w:b w:val="false"/>
                <w:bCs w:val="false"/>
              </w:rPr>
              <w:t xml:space="preserve">Both partners</w:t>
            </w:r>
          </w:p>
        </w:tc>
        <w:tc>
          <w:p>
            <w:r>
              <w:rPr>
                <w:b w:val="false"/>
                <w:bCs w:val="false"/>
              </w:rPr>
              <w:t xml:space="preserve">1 review meeting</w:t>
            </w:r>
          </w:p>
        </w:tc>
        <w:tc>
          <w:p>
            <w:r>
              <w:rPr>
                <w:b w:val="false"/>
                <w:bCs w:val="false"/>
              </w:rPr>
              <w:t xml:space="preserve">Go/no-go decision documented</w:t>
            </w:r>
          </w:p>
        </w:tc>
      </w:tr>
      <w:tr>
        <w:tc>
          <w:p>
            <w:r>
              <w:rPr>
                <w:b w:val="false"/>
                <w:bCs w:val="false"/>
              </w:rPr>
              <w:t xml:space="preserve">30–35</w:t>
            </w:r>
          </w:p>
        </w:tc>
        <w:tc>
          <w:p>
            <w:r>
              <w:rPr>
                <w:b w:val="false"/>
                <w:bCs w:val="false"/>
              </w:rPr>
              <w:t xml:space="preserve">Configure native QBO/Xero bank rules on pilot client files before paying tool</w:t>
            </w:r>
          </w:p>
        </w:tc>
        <w:tc>
          <w:p>
            <w:r>
              <w:rPr>
                <w:b w:val="false"/>
                <w:bCs w:val="false"/>
              </w:rPr>
              <w:t xml:space="preserve">Pilot-lead staff accountants</w:t>
            </w:r>
          </w:p>
        </w:tc>
        <w:tc>
          <w:p>
            <w:r>
              <w:rPr>
                <w:b w:val="false"/>
                <w:bCs w:val="false"/>
              </w:rPr>
              <w:t xml:space="preserve">2–3 hrs</w:t>
            </w:r>
          </w:p>
        </w:tc>
        <w:tc>
          <w:p>
            <w:r>
              <w:rPr>
                <w:b w:val="false"/>
                <w:bCs w:val="false"/>
              </w:rPr>
              <w:t xml:space="preserve">Native categorization baseline established</w:t>
            </w:r>
          </w:p>
        </w:tc>
      </w:tr>
      <w:tr>
        <w:tc>
          <w:p>
            <w:r>
              <w:rPr>
                <w:b w:val="false"/>
                <w:bCs w:val="false"/>
              </w:rPr>
              <w:t xml:space="preserve">35–70</w:t>
            </w:r>
          </w:p>
        </w:tc>
        <w:tc>
          <w:p>
            <w:r>
              <w:rPr>
                <w:b w:val="false"/>
                <w:bCs w:val="false"/>
              </w:rPr>
              <w:t xml:space="preserve">Connect Booke.ai to 10–15 pilot client files (QBO majority, proportional Xero sample)</w:t>
            </w:r>
          </w:p>
        </w:tc>
        <w:tc>
          <w:p>
            <w:r>
              <w:rPr>
                <w:b w:val="false"/>
                <w:bCs w:val="false"/>
              </w:rPr>
              <w:t xml:space="preserve">Ops partner + pilot leads</w:t>
            </w:r>
          </w:p>
        </w:tc>
        <w:tc>
          <w:p>
            <w:r>
              <w:rPr>
                <w:b w:val="false"/>
                <w:bCs w:val="false"/>
              </w:rPr>
              <w:t xml:space="preserve">30–45 min/client (~6–10 hrs)</w:t>
            </w:r>
          </w:p>
        </w:tc>
        <w:tc>
          <w:p>
            <w:r>
              <w:rPr>
                <w:b w:val="false"/>
                <w:bCs w:val="false"/>
              </w:rPr>
              <w:t xml:space="preserve">Live connections on pilot file set</w:t>
            </w:r>
          </w:p>
        </w:tc>
      </w:tr>
      <w:tr>
        <w:tc>
          <w:p>
            <w:r>
              <w:rPr>
                <w:b w:val="false"/>
                <w:bCs w:val="false"/>
              </w:rPr>
              <w:t xml:space="preserve">35–70</w:t>
            </w:r>
          </w:p>
        </w:tc>
        <w:tc>
          <w:p>
            <w:r>
              <w:rPr>
                <w:b w:val="false"/>
                <w:bCs w:val="false"/>
              </w:rPr>
              <w:t xml:space="preserve">Test categorization accuracy vs. manual baseline; log exceptions by category and by ledger platform</w:t>
            </w:r>
          </w:p>
        </w:tc>
        <w:tc>
          <w:p>
            <w:r>
              <w:rPr>
                <w:b w:val="false"/>
                <w:bCs w:val="false"/>
              </w:rPr>
              <w:t xml:space="preserve">2 pilot-lead staff accountants</w:t>
            </w:r>
          </w:p>
        </w:tc>
        <w:tc>
          <w:p>
            <w:r>
              <w:rPr>
                <w:b w:val="false"/>
                <w:bCs w:val="false"/>
              </w:rPr>
              <w:t xml:space="preserve">3 hrs/week for 6 weeks</w:t>
            </w:r>
          </w:p>
        </w:tc>
        <w:tc>
          <w:p>
            <w:r>
              <w:rPr>
                <w:b w:val="false"/>
                <w:bCs w:val="false"/>
              </w:rPr>
              <w:t xml:space="preserve">Biweekly findings report; Xero-specific exception rate tracked separately</w:t>
            </w:r>
          </w:p>
        </w:tc>
      </w:tr>
      <w:tr>
        <w:tc>
          <w:p>
            <w:r>
              <w:rPr>
                <w:b w:val="false"/>
                <w:bCs w:val="false"/>
              </w:rPr>
              <w:t xml:space="preserve">35–42</w:t>
            </w:r>
          </w:p>
        </w:tc>
        <w:tc>
          <w:p>
            <w:r>
              <w:rPr>
                <w:b w:val="false"/>
                <w:bCs w:val="false"/>
              </w:rPr>
              <w:t xml:space="preserve">Scale report drafting from pilot cohort to full account-manager book</w:t>
            </w:r>
          </w:p>
        </w:tc>
        <w:tc>
          <w:p>
            <w:r>
              <w:rPr>
                <w:b w:val="false"/>
                <w:bCs w:val="false"/>
              </w:rPr>
              <w:t xml:space="preserve">Account managers</w:t>
            </w:r>
          </w:p>
        </w:tc>
        <w:tc>
          <w:p>
            <w:r>
              <w:rPr>
                <w:b w:val="false"/>
                <w:bCs w:val="false"/>
              </w:rPr>
              <w:t xml:space="preserve">2–3 hrs one-time</w:t>
            </w:r>
          </w:p>
        </w:tc>
        <w:tc>
          <w:p>
            <w:r>
              <w:rPr>
                <w:b w:val="false"/>
                <w:bCs w:val="false"/>
              </w:rPr>
              <w:t xml:space="preserve">AI-drafted reports standard practice, still human-reviewed</w:t>
            </w:r>
          </w:p>
        </w:tc>
      </w:tr>
      <w:tr>
        <w:tc>
          <w:p>
            <w:r>
              <w:rPr>
                <w:b w:val="false"/>
                <w:bCs w:val="false"/>
              </w:rPr>
              <w:t xml:space="preserve">42</w:t>
            </w:r>
          </w:p>
        </w:tc>
        <w:tc>
          <w:p>
            <w:r>
              <w:rPr>
                <w:b w:val="false"/>
                <w:bCs w:val="false"/>
              </w:rPr>
              <w:t xml:space="preserve">Decide intake-channel consolidation vs. multi-channel OCR (Hubdoc vs. Dext) based on audit</w:t>
            </w:r>
          </w:p>
        </w:tc>
        <w:tc>
          <w:p>
            <w:r>
              <w:rPr>
                <w:b w:val="false"/>
                <w:bCs w:val="false"/>
              </w:rPr>
              <w:t xml:space="preserve">Ops partner + account managers</w:t>
            </w:r>
          </w:p>
        </w:tc>
        <w:tc>
          <w:p>
            <w:r>
              <w:rPr>
                <w:b w:val="false"/>
                <w:bCs w:val="false"/>
              </w:rPr>
              <w:t xml:space="preserve">2-hr decision meeting</w:t>
            </w:r>
          </w:p>
        </w:tc>
        <w:tc>
          <w:p>
            <w:r>
              <w:rPr>
                <w:b w:val="false"/>
                <w:bCs w:val="false"/>
              </w:rPr>
              <w:t xml:space="preserve">Written decision + client communication plan</w:t>
            </w:r>
          </w:p>
        </w:tc>
      </w:tr>
      <w:tr>
        <w:tc>
          <w:p>
            <w:r>
              <w:rPr>
                <w:b w:val="false"/>
                <w:bCs w:val="false"/>
              </w:rPr>
              <w:t xml:space="preserve">42–56</w:t>
            </w:r>
          </w:p>
        </w:tc>
        <w:tc>
          <w:p>
            <w:r>
              <w:rPr>
                <w:b w:val="false"/>
                <w:bCs w:val="false"/>
              </w:rPr>
              <w:t xml:space="preserve">If consolidating: contact affected clients to migrate upload channel</w:t>
            </w:r>
          </w:p>
        </w:tc>
        <w:tc>
          <w:p>
            <w:r>
              <w:rPr>
                <w:b w:val="false"/>
                <w:bCs w:val="false"/>
              </w:rPr>
              <w:t xml:space="preserve">4 account managers</w:t>
            </w:r>
          </w:p>
        </w:tc>
        <w:tc>
          <w:p>
            <w:r>
              <w:rPr>
                <w:b w:val="false"/>
                <w:bCs w:val="false"/>
              </w:rPr>
              <w:t xml:space="preserve">15–20 min/affected client</w:t>
            </w:r>
          </w:p>
        </w:tc>
        <w:tc>
          <w:p>
            <w:r>
              <w:rPr>
                <w:b w:val="false"/>
                <w:bCs w:val="false"/>
              </w:rPr>
              <w:t xml:space="preserve">≥70% of active clients migrated by Day 70</w:t>
            </w:r>
          </w:p>
        </w:tc>
      </w:tr>
      <w:tr>
        <w:tc>
          <w:p>
            <w:r>
              <w:rPr>
                <w:b w:val="false"/>
                <w:bCs w:val="false"/>
              </w:rPr>
              <w:t xml:space="preserve">56</w:t>
            </w:r>
          </w:p>
        </w:tc>
        <w:tc>
          <w:p>
            <w:r>
              <w:rPr>
                <w:b w:val="false"/>
                <w:bCs w:val="false"/>
              </w:rPr>
              <w:t xml:space="preserve">Negotiate capped/tiered pricing for categorization and receipt tools at full-book scale</w:t>
            </w:r>
          </w:p>
        </w:tc>
        <w:tc>
          <w:p>
            <w:r>
              <w:rPr>
                <w:b w:val="false"/>
                <w:bCs w:val="false"/>
              </w:rPr>
              <w:t xml:space="preserve">Ops-focused partner</w:t>
            </w:r>
          </w:p>
        </w:tc>
        <w:tc>
          <w:p>
            <w:r>
              <w:rPr>
                <w:b w:val="false"/>
                <w:bCs w:val="false"/>
              </w:rPr>
              <w:t xml:space="preserve">2–3 hrs vendor calls</w:t>
            </w:r>
          </w:p>
        </w:tc>
        <w:tc>
          <w:p>
            <w:r>
              <w:rPr>
                <w:b w:val="false"/>
                <w:bCs w:val="false"/>
              </w:rPr>
              <w:t xml:space="preserve">Written pricing locked before Phase 3 scale-up</w:t>
            </w:r>
          </w:p>
        </w:tc>
      </w:tr>
      <w:tr>
        <w:tc>
          <w:p>
            <w:r>
              <w:rPr>
                <w:b w:val="false"/>
                <w:bCs w:val="false"/>
              </w:rPr>
              <w:t xml:space="preserve">Day 60</w:t>
            </w:r>
          </w:p>
        </w:tc>
        <w:tc>
          <w:p>
            <w:r>
              <w:rPr>
                <w:b/>
                <w:bCs/>
              </w:rPr>
              <w:t xml:space="preserve">Gate:</w:t>
            </w:r>
            <w:r>
              <w:rPr>
                <w:b w:val="false"/>
                <w:bCs w:val="false"/>
              </w:rPr>
              <w:t xml:space="preserve"> exception rate &lt;15% on pilot files (and by ledger segment); net time savings confirmed on ≥10 of 15 files</w:t>
            </w:r>
          </w:p>
        </w:tc>
        <w:tc>
          <w:p>
            <w:r>
              <w:rPr>
                <w:b w:val="false"/>
                <w:bCs w:val="false"/>
              </w:rPr>
              <w:t xml:space="preserve">Ops partner + pilot leads</w:t>
            </w:r>
          </w:p>
        </w:tc>
        <w:tc>
          <w:p>
            <w:r>
              <w:rPr>
                <w:b w:val="false"/>
                <w:bCs w:val="false"/>
              </w:rPr>
              <w:t xml:space="preserve">Review meeting</w:t>
            </w:r>
          </w:p>
        </w:tc>
        <w:tc>
          <w:p>
            <w:r>
              <w:rPr>
                <w:b w:val="false"/>
                <w:bCs w:val="false"/>
              </w:rPr>
              <w:t xml:space="preserve">Go/no-go documented; Phase 3 scope confirmed</w:t>
            </w:r>
          </w:p>
        </w:tc>
      </w:tr>
      <w:tr>
        <w:tc>
          <w:p>
            <w:r>
              <w:rPr>
                <w:b w:val="false"/>
                <w:bCs w:val="false"/>
              </w:rPr>
              <w:t xml:space="preserve">61–70</w:t>
            </w:r>
          </w:p>
        </w:tc>
        <w:tc>
          <w:p>
            <w:r>
              <w:rPr>
                <w:b w:val="false"/>
                <w:bCs w:val="false"/>
              </w:rPr>
              <w:t xml:space="preserve">Roll out categorization tool to remaining bookkeeping staff and client files</w:t>
            </w:r>
          </w:p>
        </w:tc>
        <w:tc>
          <w:p>
            <w:r>
              <w:rPr>
                <w:b w:val="false"/>
                <w:bCs w:val="false"/>
              </w:rPr>
              <w:t xml:space="preserve">Pilot leads (training) + ops partner</w:t>
            </w:r>
          </w:p>
        </w:tc>
        <w:tc>
          <w:p>
            <w:r>
              <w:rPr>
                <w:b w:val="false"/>
                <w:bCs w:val="false"/>
              </w:rPr>
              <w:t xml:space="preserve">1 hr/staff training</w:t>
            </w:r>
          </w:p>
        </w:tc>
        <w:tc>
          <w:p>
            <w:r>
              <w:rPr>
                <w:b w:val="false"/>
                <w:bCs w:val="false"/>
              </w:rPr>
              <w:t xml:space="preserve">Firm-wide categorization live</w:t>
            </w:r>
          </w:p>
        </w:tc>
      </w:tr>
      <w:tr>
        <w:tc>
          <w:p>
            <w:r>
              <w:rPr>
                <w:b w:val="false"/>
                <w:bCs w:val="false"/>
              </w:rPr>
              <w:t xml:space="preserve">61–70</w:t>
            </w:r>
          </w:p>
        </w:tc>
        <w:tc>
          <w:p>
            <w:r>
              <w:rPr>
                <w:b w:val="false"/>
                <w:bCs w:val="false"/>
              </w:rPr>
              <w:t xml:space="preserve">Deploy receipt/invoice OCR tool per Phase 2 channel decision</w:t>
            </w:r>
          </w:p>
        </w:tc>
        <w:tc>
          <w:p>
            <w:r>
              <w:rPr>
                <w:b w:val="false"/>
                <w:bCs w:val="false"/>
              </w:rPr>
              <w:t xml:space="preserve">Account managers + bookkeeping staff</w:t>
            </w:r>
          </w:p>
        </w:tc>
        <w:tc>
          <w:p>
            <w:r>
              <w:rPr>
                <w:b w:val="false"/>
                <w:bCs w:val="false"/>
              </w:rPr>
              <w:t xml:space="preserve">4–6 hrs setup</w:t>
            </w:r>
          </w:p>
        </w:tc>
        <w:tc>
          <w:p>
            <w:r>
              <w:rPr>
                <w:b w:val="false"/>
                <w:bCs w:val="false"/>
              </w:rPr>
              <w:t xml:space="preserve">OCR tool live on eligible/migrated clients</w:t>
            </w:r>
          </w:p>
        </w:tc>
      </w:tr>
      <w:tr>
        <w:tc>
          <w:p>
            <w:r>
              <w:rPr>
                <w:b w:val="false"/>
                <w:bCs w:val="false"/>
              </w:rPr>
              <w:t xml:space="preserve">70–84</w:t>
            </w:r>
          </w:p>
        </w:tc>
        <w:tc>
          <w:p>
            <w:r>
              <w:rPr>
                <w:b w:val="false"/>
                <w:bCs w:val="false"/>
              </w:rPr>
              <w:t xml:space="preserve">Track actual hours saved per workflow against 34-hr baseline; monitor adoption by staff member, not just aggregate</w:t>
            </w:r>
          </w:p>
        </w:tc>
        <w:tc>
          <w:p>
            <w:r>
              <w:rPr>
                <w:b w:val="false"/>
                <w:bCs w:val="false"/>
              </w:rPr>
              <w:t xml:space="preserve">Ops partner</w:t>
            </w:r>
          </w:p>
        </w:tc>
        <w:tc>
          <w:p>
            <w:r>
              <w:rPr>
                <w:b w:val="false"/>
                <w:bCs w:val="false"/>
              </w:rPr>
              <w:t xml:space="preserve">1 hr/week logging</w:t>
            </w:r>
          </w:p>
        </w:tc>
        <w:tc>
          <w:p>
            <w:r>
              <w:rPr>
                <w:b w:val="false"/>
                <w:bCs w:val="false"/>
              </w:rPr>
              <w:t xml:space="preserve">Week-12 hours-saved report, broken out by user</w:t>
            </w:r>
          </w:p>
        </w:tc>
      </w:tr>
      <w:tr>
        <w:tc>
          <w:p>
            <w:r>
              <w:rPr>
                <w:b w:val="false"/>
                <w:bCs w:val="false"/>
              </w:rPr>
              <w:t xml:space="preserve">75–84</w:t>
            </w:r>
          </w:p>
        </w:tc>
        <w:tc>
          <w:p>
            <w:r>
              <w:rPr>
                <w:b w:val="false"/>
                <w:bCs w:val="false"/>
              </w:rPr>
              <w:t xml:space="preserve">Conduct two-week post-rollout check-ins with the "comfortable but not proactive" staff segment</w:t>
            </w:r>
          </w:p>
        </w:tc>
        <w:tc>
          <w:p>
            <w:r>
              <w:rPr>
                <w:b w:val="false"/>
                <w:bCs w:val="false"/>
              </w:rPr>
              <w:t xml:space="preserve">Pilot leads</w:t>
            </w:r>
          </w:p>
        </w:tc>
        <w:tc>
          <w:p>
            <w:r>
              <w:rPr>
                <w:b w:val="false"/>
                <w:bCs w:val="false"/>
              </w:rPr>
              <w:t xml:space="preserve">1–2 hrs</w:t>
            </w:r>
          </w:p>
        </w:tc>
        <w:tc>
          <w:p>
            <w:r>
              <w:rPr>
                <w:b w:val="false"/>
                <w:bCs w:val="false"/>
              </w:rPr>
              <w:t xml:space="preserve">Adoption concerns surfaced and logged before hardening</w:t>
            </w:r>
          </w:p>
        </w:tc>
      </w:tr>
      <w:tr>
        <w:tc>
          <w:p>
            <w:r>
              <w:rPr>
                <w:b w:val="false"/>
                <w:bCs w:val="false"/>
              </w:rPr>
              <w:t xml:space="preserve">84</w:t>
            </w:r>
          </w:p>
        </w:tc>
        <w:tc>
          <w:p>
            <w:r>
              <w:rPr>
                <w:b w:val="false"/>
                <w:bCs w:val="false"/>
              </w:rPr>
              <w:t xml:space="preserve">Begin tracking time on next 5 new-client onboardings to build missing baseline</w:t>
            </w:r>
          </w:p>
        </w:tc>
        <w:tc>
          <w:p>
            <w:r>
              <w:rPr>
                <w:b w:val="false"/>
                <w:bCs w:val="false"/>
              </w:rPr>
              <w:t xml:space="preserve">Ops-focused partner</w:t>
            </w:r>
          </w:p>
        </w:tc>
        <w:tc>
          <w:p>
            <w:r>
              <w:rPr>
                <w:b w:val="false"/>
                <w:bCs w:val="false"/>
              </w:rPr>
              <w:t xml:space="preserve">Ongoing, ~15 min/onboarding</w:t>
            </w:r>
          </w:p>
        </w:tc>
        <w:tc>
          <w:p>
            <w:r>
              <w:rPr>
                <w:b w:val="false"/>
                <w:bCs w:val="false"/>
              </w:rPr>
              <w:t xml:space="preserve">Onboarding dataset initiated for next-phase prioritization</w:t>
            </w:r>
          </w:p>
        </w:tc>
      </w:tr>
      <w:tr>
        <w:tc>
          <w:p>
            <w:r>
              <w:rPr>
                <w:b w:val="false"/>
                <w:bCs w:val="false"/>
              </w:rPr>
              <w:t xml:space="preserve">90</w:t>
            </w:r>
          </w:p>
        </w:tc>
        <w:tc>
          <w:p>
            <w:r>
              <w:rPr>
                <w:b w:val="false"/>
                <w:bCs w:val="false"/>
              </w:rPr>
              <w:t xml:space="preserve">Partners jointly review 90-day results against 15-hr/week objective and budget</w:t>
            </w:r>
          </w:p>
        </w:tc>
        <w:tc>
          <w:p>
            <w:r>
              <w:rPr>
                <w:b w:val="false"/>
                <w:bCs w:val="false"/>
              </w:rPr>
              <w:t xml:space="preserve">Both partners</w:t>
            </w:r>
          </w:p>
        </w:tc>
        <w:tc>
          <w:p>
            <w:r>
              <w:rPr>
                <w:b w:val="false"/>
                <w:bCs w:val="false"/>
              </w:rPr>
              <w:t xml:space="preserve">1 meeting</w:t>
            </w:r>
          </w:p>
        </w:tc>
        <w:tc>
          <w:p>
            <w:r>
              <w:rPr>
                <w:b w:val="false"/>
                <w:bCs w:val="false"/>
              </w:rPr>
              <w:t xml:space="preserve">Documented decision: scale, adjust tool mix, or extend pilot; quarterly budget review cadence set</w:t>
            </w:r>
          </w:p>
        </w:tc>
      </w:tr>
    </w:tbl>
    <w:p>
      <w:pPr>
        <w:spacing w:after="120"/>
      </w:pPr>
    </w:p>
    <w:p>
      <w:pPr>
        <w:spacing w:after="200"/>
      </w:pPr>
      <w:r>
        <w:rPr>
          <w:b w:val="false"/>
          <w:bCs w:val="false"/>
        </w:rPr>
        <w:t xml:space="preserve">Two sequencing dependencies deserve emphasis because they determine whether the later milestones are achievable at all. First, the Day 30 gate is a genuine stop condition, not a checkpoint for show — if the skeptical partner's sign-off doesn't materialize, Phase 2's categorization launch should slip rather than proTwo sequencing dependencies deserve emphasis because they determine whether the later milestones are achievable at all. First, the Day 30 gate is a genuine stop condition, not a checkpoint for show — if the skeptical partner's sign-off doesn't materialize, Phase 2's categorization launch should slip rather than proceed on schedule, because launching the highest-risk workflow without organizational permission recreates the exact governance gap this roadmap was built to close. Second, the intake-channel audit in Phase 1 is a hard prerequisite for Phase 3's receipt-automation launch, not a parallel nice-to-have — skipping it to stay on calendar would mean deploying OCR against the same fragmented intake pattern the root-cause analysis identified as the actual problem, producing a tool that underperforms and erodes confidence in the whole initiative.</w:t>
      </w:r>
    </w:p>
    <w:p>
      <w:pPr>
        <w:spacing w:after="200"/>
      </w:pPr>
      <w:r>
        <w:rPr>
          <w:b w:val="false"/>
          <w:bCs w:val="false"/>
        </w:rPr>
        <w:t xml:space="preserve">The table below consolidates every action across the three phases into a single reference, organized by the 30/60/90-day horizons requested, with owner, effort, and completion milestone made explicit for each line. Every item traces to a specific recommendation made earlier in this report — the AI Data Handling Policy and partner-briefing actions come from the AI Readiness Assessment section; the report-drafting and categorization pilot structures come from the Use-Case Prioritization section; the intake-channel audit and its downstream tool decision come from the Findings &amp; Analysis root-cause work; and the tool-specific procurement steps come from the Tool Shortlist section.</w:t>
      </w:r>
    </w:p>
    <w:tbl>
      <w:tblPr>
        <w:tblW w:type="pct" w:w="100%"/>
        <w:tblBorders>
          <w:top w:val="single" w:color="auto" w:sz="4"/>
          <w:left w:val="single" w:color="auto" w:sz="4"/>
          <w:bottom w:val="single" w:color="auto" w:sz="4"/>
          <w:right w:val="single" w:color="auto" w:sz="4"/>
          <w:insideH w:val="single" w:color="auto" w:sz="4"/>
          <w:insideV w:val="single" w:color="auto" w:sz="4"/>
        </w:tblBorders>
      </w:tblPr>
      <w:tblGrid>
        <w:gridCol w:w="100"/>
        <w:gridCol w:w="100"/>
        <w:gridCol w:w="100"/>
        <w:gridCol w:w="100"/>
        <w:gridCol w:w="100"/>
      </w:tblGrid>
      <w:tr>
        <w:tc>
          <w:p>
            <w:r>
              <w:rPr>
                <w:b/>
                <w:bCs/>
              </w:rPr>
              <w:t xml:space="preserve">Horizon</w:t>
            </w:r>
          </w:p>
        </w:tc>
        <w:tc>
          <w:p>
            <w:r>
              <w:rPr>
                <w:b/>
                <w:bCs/>
              </w:rPr>
              <w:t xml:space="preserve">Action</w:t>
            </w:r>
          </w:p>
        </w:tc>
        <w:tc>
          <w:p>
            <w:r>
              <w:rPr>
                <w:b/>
                <w:bCs/>
              </w:rPr>
              <w:t xml:space="preserve">Owner</w:t>
            </w:r>
          </w:p>
        </w:tc>
        <w:tc>
          <w:p>
            <w:r>
              <w:rPr>
                <w:b/>
                <w:bCs/>
              </w:rPr>
              <w:t xml:space="preserve">Effort</w:t>
            </w:r>
          </w:p>
        </w:tc>
        <w:tc>
          <w:p>
            <w:r>
              <w:rPr>
                <w:b/>
                <w:bCs/>
              </w:rPr>
              <w:t xml:space="preserve">Milestone / Done Criteria</w:t>
            </w:r>
          </w:p>
        </w:tc>
      </w:tr>
      <w:tr>
        <w:tc>
          <w:p>
            <w:r>
              <w:rPr>
                <w:b w:val="false"/>
                <w:bCs w:val="false"/>
              </w:rPr>
              <w:t xml:space="preserve">0–30 days</w:t>
            </w:r>
          </w:p>
        </w:tc>
        <w:tc>
          <w:p>
            <w:r>
              <w:rPr>
                <w:b w:val="false"/>
                <w:bCs w:val="false"/>
              </w:rPr>
              <w:t xml:space="preserve">Draft and ratify one-page AI Data Handling Policy</w:t>
            </w:r>
          </w:p>
        </w:tc>
        <w:tc>
          <w:p>
            <w:r>
              <w:rPr>
                <w:b w:val="false"/>
                <w:bCs w:val="false"/>
              </w:rPr>
              <w:t xml:space="preserve">Ops-focused partner</w:t>
            </w:r>
          </w:p>
        </w:tc>
        <w:tc>
          <w:p>
            <w:r>
              <w:rPr>
                <w:b w:val="false"/>
                <w:bCs w:val="false"/>
              </w:rPr>
              <w:t xml:space="preserve">3–4 hrs drafting + 1 meeting</w:t>
            </w:r>
          </w:p>
        </w:tc>
        <w:tc>
          <w:p>
            <w:r>
              <w:rPr>
                <w:b w:val="false"/>
                <w:bCs w:val="false"/>
              </w:rPr>
              <w:t xml:space="preserve">Signed policy document; named AI point of contact</w:t>
            </w:r>
          </w:p>
        </w:tc>
      </w:tr>
      <w:tr>
        <w:tc>
          <w:p>
            <w:r>
              <w:rPr>
                <w:b w:val="false"/>
                <w:bCs w:val="false"/>
              </w:rPr>
              <w:t xml:space="preserve">0–30 days</w:t>
            </w:r>
          </w:p>
        </w:tc>
        <w:tc>
          <w:p>
            <w:r>
              <w:rPr>
                <w:b w:val="false"/>
                <w:bCs w:val="false"/>
              </w:rPr>
              <w:t xml:space="preserve">Brief skeptical partner and assign as designated reviewer for report-drafting pilot</w:t>
            </w:r>
          </w:p>
        </w:tc>
        <w:tc>
          <w:p>
            <w:r>
              <w:rPr>
                <w:b w:val="false"/>
                <w:bCs w:val="false"/>
              </w:rPr>
              <w:t xml:space="preserve">Ops partner</w:t>
            </w:r>
          </w:p>
        </w:tc>
        <w:tc>
          <w:p>
            <w:r>
              <w:rPr>
                <w:b w:val="false"/>
                <w:bCs w:val="false"/>
              </w:rPr>
              <w:t xml:space="preserve">30 min</w:t>
            </w:r>
          </w:p>
        </w:tc>
        <w:tc>
          <w:p>
            <w:r>
              <w:rPr>
                <w:b w:val="false"/>
                <w:bCs w:val="false"/>
              </w:rPr>
              <w:t xml:space="preserve">Partner formally in reviewer role</w:t>
            </w:r>
          </w:p>
        </w:tc>
      </w:tr>
      <w:tr>
        <w:tc>
          <w:p>
            <w:r>
              <w:rPr>
                <w:b w:val="false"/>
                <w:bCs w:val="false"/>
              </w:rPr>
              <w:t xml:space="preserve">0–30 days</w:t>
            </w:r>
          </w:p>
        </w:tc>
        <w:tc>
          <w:p>
            <w:r>
              <w:rPr>
                <w:b w:val="false"/>
                <w:bCs w:val="false"/>
              </w:rPr>
              <w:t xml:space="preserve">Name two staff accountants as categorization pilot leads in writing</w:t>
            </w:r>
          </w:p>
        </w:tc>
        <w:tc>
          <w:p>
            <w:r>
              <w:rPr>
                <w:b w:val="false"/>
                <w:bCs w:val="false"/>
              </w:rPr>
              <w:t xml:space="preserve">Ops partner</w:t>
            </w:r>
          </w:p>
        </w:tc>
        <w:tc>
          <w:p>
            <w:r>
              <w:rPr>
                <w:b w:val="false"/>
                <w:bCs w:val="false"/>
              </w:rPr>
              <w:t xml:space="preserve">15 min</w:t>
            </w:r>
          </w:p>
        </w:tc>
        <w:tc>
          <w:p>
            <w:r>
              <w:rPr>
                <w:b w:val="false"/>
                <w:bCs w:val="false"/>
              </w:rPr>
              <w:t xml:space="preserve">Written designation; 3 hrs/week authorized</w:t>
            </w:r>
          </w:p>
        </w:tc>
      </w:tr>
      <w:tr>
        <w:tc>
          <w:p>
            <w:r>
              <w:rPr>
                <w:b w:val="false"/>
                <w:bCs w:val="false"/>
              </w:rPr>
              <w:t xml:space="preserve">0–30 days</w:t>
            </w:r>
          </w:p>
        </w:tc>
        <w:tc>
          <w:p>
            <w:r>
              <w:rPr>
                <w:b w:val="false"/>
                <w:bCs w:val="false"/>
              </w:rPr>
              <w:t xml:space="preserve">Select 3–5 clients (mixed complexity) for report-drafting pilot</w:t>
            </w:r>
          </w:p>
        </w:tc>
        <w:tc>
          <w:p>
            <w:r>
              <w:rPr>
                <w:b w:val="false"/>
                <w:bCs w:val="false"/>
              </w:rPr>
              <w:t xml:space="preserve">Account managers + ops partner</w:t>
            </w:r>
          </w:p>
        </w:tc>
        <w:tc>
          <w:p>
            <w:r>
              <w:rPr>
                <w:b w:val="false"/>
                <w:bCs w:val="false"/>
              </w:rPr>
              <w:t xml:space="preserve">2 hrs</w:t>
            </w:r>
          </w:p>
        </w:tc>
        <w:tc>
          <w:p>
            <w:r>
              <w:rPr>
                <w:b w:val="false"/>
                <w:bCs w:val="false"/>
              </w:rPr>
              <w:t xml:space="preserve">Pilot client list finalized</w:t>
            </w:r>
          </w:p>
        </w:tc>
      </w:tr>
      <w:tr>
        <w:tc>
          <w:p>
            <w:r>
              <w:rPr>
                <w:b w:val="false"/>
                <w:bCs w:val="false"/>
              </w:rPr>
              <w:t xml:space="preserve">0–30 days</w:t>
            </w:r>
          </w:p>
        </w:tc>
        <w:tc>
          <w:p>
            <w:r>
              <w:rPr>
                <w:b w:val="false"/>
                <w:bCs w:val="false"/>
              </w:rPr>
              <w:t xml:space="preserve">Request SOC 2 Type II reports from Fathom, Booke.ai, Dext/Hubdoc</w:t>
            </w:r>
          </w:p>
        </w:tc>
        <w:tc>
          <w:p>
            <w:r>
              <w:rPr>
                <w:b w:val="false"/>
                <w:bCs w:val="false"/>
              </w:rPr>
              <w:t xml:space="preserve">Ops partner</w:t>
            </w:r>
          </w:p>
        </w:tc>
        <w:tc>
          <w:p>
            <w:r>
              <w:rPr>
                <w:b w:val="false"/>
                <w:bCs w:val="false"/>
              </w:rPr>
              <w:t xml:space="preserve">2–3 hrs outreach</w:t>
            </w:r>
          </w:p>
        </w:tc>
        <w:tc>
          <w:p>
            <w:r>
              <w:rPr>
                <w:b w:val="false"/>
                <w:bCs w:val="false"/>
              </w:rPr>
              <w:t xml:space="preserve">Attestation documents on file for all three</w:t>
            </w:r>
          </w:p>
        </w:tc>
      </w:tr>
      <w:tr>
        <w:tc>
          <w:p>
            <w:r>
              <w:rPr>
                <w:b w:val="false"/>
                <w:bCs w:val="false"/>
              </w:rPr>
              <w:t xml:space="preserve">0–30 days</w:t>
            </w:r>
          </w:p>
        </w:tc>
        <w:tc>
          <w:p>
            <w:r>
              <w:rPr>
                <w:b w:val="false"/>
                <w:bCs w:val="false"/>
              </w:rPr>
              <w:t xml:space="preserve">Sign Fathom (or equivalent) and configure against pilot clients' QBO/Xero exports</w:t>
            </w:r>
          </w:p>
        </w:tc>
        <w:tc>
          <w:p>
            <w:r>
              <w:rPr>
                <w:b w:val="false"/>
                <w:bCs w:val="false"/>
              </w:rPr>
              <w:t xml:space="preserve">Account managers</w:t>
            </w:r>
          </w:p>
        </w:tc>
        <w:tc>
          <w:p>
            <w:r>
              <w:rPr>
                <w:b w:val="false"/>
                <w:bCs w:val="false"/>
              </w:rPr>
              <w:t xml:space="preserve">4–6 hrs setup</w:t>
            </w:r>
          </w:p>
        </w:tc>
        <w:tc>
          <w:p>
            <w:r>
              <w:rPr>
                <w:b w:val="false"/>
                <w:bCs w:val="false"/>
              </w:rPr>
              <w:t xml:space="preserve">First AI-drafted report generated internally</w:t>
            </w:r>
          </w:p>
        </w:tc>
      </w:tr>
      <w:tr>
        <w:tc>
          <w:p>
            <w:r>
              <w:rPr>
                <w:b w:val="false"/>
                <w:bCs w:val="false"/>
              </w:rPr>
              <w:t xml:space="preserve">0–30 days</w:t>
            </w:r>
          </w:p>
        </w:tc>
        <w:tc>
          <w:p>
            <w:r>
              <w:rPr>
                <w:b w:val="false"/>
                <w:bCs w:val="false"/>
              </w:rPr>
              <w:t xml:space="preserve">Run 4 weekly report-draft review cycles</w:t>
            </w:r>
          </w:p>
        </w:tc>
        <w:tc>
          <w:p>
            <w:r>
              <w:rPr>
                <w:b w:val="false"/>
                <w:bCs w:val="false"/>
              </w:rPr>
              <w:t xml:space="preserve">Skeptical partner + account managers</w:t>
            </w:r>
          </w:p>
        </w:tc>
        <w:tc>
          <w:p>
            <w:r>
              <w:rPr>
                <w:b w:val="false"/>
                <w:bCs w:val="false"/>
              </w:rPr>
              <w:t xml:space="preserve">1 hr/week</w:t>
            </w:r>
          </w:p>
        </w:tc>
        <w:tc>
          <w:p>
            <w:r>
              <w:rPr>
                <w:b w:val="false"/>
                <w:bCs w:val="false"/>
              </w:rPr>
              <w:t xml:space="preserve">8–10 logged draft-vs-manual comparisons</w:t>
            </w:r>
          </w:p>
        </w:tc>
      </w:tr>
      <w:tr>
        <w:tc>
          <w:p>
            <w:r>
              <w:rPr>
                <w:b w:val="false"/>
                <w:bCs w:val="false"/>
              </w:rPr>
              <w:t xml:space="preserve">0–30 days</w:t>
            </w:r>
          </w:p>
        </w:tc>
        <w:tc>
          <w:p>
            <w:r>
              <w:rPr>
                <w:b w:val="false"/>
                <w:bCs w:val="false"/>
              </w:rPr>
              <w:t xml:space="preserve">Configure native QBO bank rules and Xero bank rules on pilot files, before any paid categorization tool</w:t>
            </w:r>
          </w:p>
        </w:tc>
        <w:tc>
          <w:p>
            <w:r>
              <w:rPr>
                <w:b w:val="false"/>
                <w:bCs w:val="false"/>
              </w:rPr>
              <w:t xml:space="preserve">Pilot-lead staff accountants</w:t>
            </w:r>
          </w:p>
        </w:tc>
        <w:tc>
          <w:p>
            <w:r>
              <w:rPr>
                <w:b w:val="false"/>
                <w:bCs w:val="false"/>
              </w:rPr>
              <w:t xml:space="preserve">4–6 hrs total</w:t>
            </w:r>
          </w:p>
        </w:tc>
        <w:tc>
          <w:p>
            <w:r>
              <w:rPr>
                <w:b w:val="false"/>
                <w:bCs w:val="false"/>
              </w:rPr>
              <w:t xml:space="preserve">Native rules fully exhausted and documented</w:t>
            </w:r>
          </w:p>
        </w:tc>
      </w:tr>
      <w:tr>
        <w:tc>
          <w:p>
            <w:r>
              <w:rPr>
                <w:b w:val="false"/>
                <w:bCs w:val="false"/>
              </w:rPr>
              <w:t xml:space="preserve">0–30 days</w:t>
            </w:r>
          </w:p>
        </w:tc>
        <w:tc>
          <w:p>
            <w:r>
              <w:rPr>
                <w:b w:val="false"/>
                <w:bCs w:val="false"/>
              </w:rPr>
              <w:t xml:space="preserve">Complete client-by-intake-channel audit (Drive/email/photo/mail)</w:t>
            </w:r>
          </w:p>
        </w:tc>
        <w:tc>
          <w:p>
            <w:r>
              <w:rPr>
                <w:b w:val="false"/>
                <w:bCs w:val="false"/>
              </w:rPr>
              <w:t xml:space="preserve">4 account managers</w:t>
            </w:r>
          </w:p>
        </w:tc>
        <w:tc>
          <w:p>
            <w:r>
              <w:rPr>
                <w:b w:val="false"/>
                <w:bCs w:val="false"/>
              </w:rPr>
              <w:t xml:space="preserve">~30 min each (2 hrs total)</w:t>
            </w:r>
          </w:p>
        </w:tc>
        <w:tc>
          <w:p>
            <w:r>
              <w:rPr>
                <w:b w:val="false"/>
                <w:bCs w:val="false"/>
              </w:rPr>
              <w:t xml:space="preserve">Channel audit table complete</w:t>
            </w:r>
          </w:p>
        </w:tc>
      </w:tr>
      <w:tr>
        <w:tc>
          <w:p>
            <w:r>
              <w:rPr>
                <w:b w:val="false"/>
                <w:bCs w:val="false"/>
              </w:rPr>
              <w:t xml:space="preserve">0–30 days</w:t>
            </w:r>
          </w:p>
        </w:tc>
        <w:tc>
          <w:p>
            <w:r>
              <w:rPr>
                <w:b w:val="false"/>
                <w:bCs w:val="false"/>
              </w:rPr>
              <w:t xml:space="preserve">Negotiate categorization vendor contract, confirm SOC 2 on file before signing</w:t>
            </w:r>
          </w:p>
        </w:tc>
        <w:tc>
          <w:p>
            <w:r>
              <w:rPr>
                <w:b w:val="false"/>
                <w:bCs w:val="false"/>
              </w:rPr>
              <w:t xml:space="preserve">Ops partner</w:t>
            </w:r>
          </w:p>
        </w:tc>
        <w:tc>
          <w:p>
            <w:r>
              <w:rPr>
                <w:b w:val="false"/>
                <w:bCs w:val="false"/>
              </w:rPr>
              <w:t xml:space="preserve">3–4 hrs</w:t>
            </w:r>
          </w:p>
        </w:tc>
        <w:tc>
          <w:p>
            <w:r>
              <w:rPr>
                <w:b w:val="false"/>
                <w:bCs w:val="false"/>
              </w:rPr>
              <w:t xml:space="preserve">Vendor contracted, ready to connect by Day 31–35</w:t>
            </w:r>
          </w:p>
        </w:tc>
      </w:tr>
      <w:tr>
        <w:tc>
          <w:p>
            <w:r>
              <w:rPr>
                <w:b/>
                <w:bCs/>
              </w:rPr>
              <w:t xml:space="preserve">Day 30 gate</w:t>
            </w:r>
          </w:p>
        </w:tc>
        <w:tc>
          <w:p>
            <w:r>
              <w:rPr>
                <w:b w:val="false"/>
                <w:bCs w:val="false"/>
              </w:rPr>
              <w:t xml:space="preserve">Go/no-go: ≥80% "minor edits only" rate on drafts; skeptical partner signs off on scaling</w:t>
            </w:r>
          </w:p>
        </w:tc>
        <w:tc>
          <w:p>
            <w:r>
              <w:rPr>
                <w:b w:val="false"/>
                <w:bCs w:val="false"/>
              </w:rPr>
              <w:t xml:space="preserve">Both partners</w:t>
            </w:r>
          </w:p>
        </w:tc>
        <w:tc>
          <w:p>
            <w:r>
              <w:rPr>
                <w:b w:val="false"/>
                <w:bCs w:val="false"/>
              </w:rPr>
              <w:t xml:space="preserve">1 review meeting</w:t>
            </w:r>
          </w:p>
        </w:tc>
        <w:tc>
          <w:p>
            <w:r>
              <w:rPr>
                <w:b w:val="false"/>
                <w:bCs w:val="false"/>
              </w:rPr>
              <w:t xml:space="preserve">Written sign-off or documented delay decision</w:t>
            </w:r>
          </w:p>
        </w:tc>
      </w:tr>
      <w:tr>
        <w:tc>
          <w:p>
            <w:r>
              <w:rPr>
                <w:b w:val="false"/>
                <w:bCs w:val="false"/>
              </w:rPr>
              <w:t xml:space="preserve">31–60 days</w:t>
            </w:r>
          </w:p>
        </w:tc>
        <w:tc>
          <w:p>
            <w:r>
              <w:rPr>
                <w:b w:val="false"/>
                <w:bCs w:val="false"/>
              </w:rPr>
              <w:t xml:space="preserve">Connect categorization tool to 10–15 pilot client files, intentionally over-sampling Xero (2–3 files minimum)</w:t>
            </w:r>
          </w:p>
        </w:tc>
        <w:tc>
          <w:p>
            <w:r>
              <w:rPr>
                <w:b w:val="false"/>
                <w:bCs w:val="false"/>
              </w:rPr>
              <w:t xml:space="preserve">Ops partner + pilot leads</w:t>
            </w:r>
          </w:p>
        </w:tc>
        <w:tc>
          <w:p>
            <w:r>
              <w:rPr>
                <w:b w:val="false"/>
                <w:bCs w:val="false"/>
              </w:rPr>
              <w:t xml:space="preserve">30–45 min/client (~6–10 hrs total)</w:t>
            </w:r>
          </w:p>
        </w:tc>
        <w:tc>
          <w:p>
            <w:r>
              <w:rPr>
                <w:b w:val="false"/>
                <w:bCs w:val="false"/>
              </w:rPr>
              <w:t xml:space="preserve">Live connections on pilot file set</w:t>
            </w:r>
          </w:p>
        </w:tc>
      </w:tr>
      <w:tr>
        <w:tc>
          <w:p>
            <w:r>
              <w:rPr>
                <w:b w:val="false"/>
                <w:bCs w:val="false"/>
              </w:rPr>
              <w:t xml:space="preserve">31–60 days</w:t>
            </w:r>
          </w:p>
        </w:tc>
        <w:tc>
          <w:p>
            <w:r>
              <w:rPr>
                <w:b w:val="false"/>
                <w:bCs w:val="false"/>
              </w:rPr>
              <w:t xml:space="preserve">Test categorization accuracy vs. manual baseline; log exception rates by category and by platform (QBO vs. Xero)</w:t>
            </w:r>
          </w:p>
        </w:tc>
        <w:tc>
          <w:p>
            <w:r>
              <w:rPr>
                <w:b w:val="false"/>
                <w:bCs w:val="false"/>
              </w:rPr>
              <w:t xml:space="preserve">Pilot-lead staff accountants</w:t>
            </w:r>
          </w:p>
        </w:tc>
        <w:tc>
          <w:p>
            <w:r>
              <w:rPr>
                <w:b w:val="false"/>
                <w:bCs w:val="false"/>
              </w:rPr>
              <w:t xml:space="preserve">3 hrs/week × 6 weeks</w:t>
            </w:r>
          </w:p>
        </w:tc>
        <w:tc>
          <w:p>
            <w:r>
              <w:rPr>
                <w:b w:val="false"/>
                <w:bCs w:val="false"/>
              </w:rPr>
              <w:t xml:space="preserve">Biweekly findings report to ops partner</w:t>
            </w:r>
          </w:p>
        </w:tc>
      </w:tr>
      <w:tr>
        <w:tc>
          <w:p>
            <w:r>
              <w:rPr>
                <w:b w:val="false"/>
                <w:bCs w:val="false"/>
              </w:rPr>
              <w:t xml:space="preserve">31–60 days</w:t>
            </w:r>
          </w:p>
        </w:tc>
        <w:tc>
          <w:p>
            <w:r>
              <w:rPr>
                <w:b w:val="false"/>
                <w:bCs w:val="false"/>
              </w:rPr>
              <w:t xml:space="preserve">Scale report drafting from pilot cohort to full account-manager book</w:t>
            </w:r>
          </w:p>
        </w:tc>
        <w:tc>
          <w:p>
            <w:r>
              <w:rPr>
                <w:b w:val="false"/>
                <w:bCs w:val="false"/>
              </w:rPr>
              <w:t xml:space="preserve">Account managers</w:t>
            </w:r>
          </w:p>
        </w:tc>
        <w:tc>
          <w:p>
            <w:r>
              <w:rPr>
                <w:b w:val="false"/>
                <w:bCs w:val="false"/>
              </w:rPr>
              <w:t xml:space="preserve">2–3 hrs rollout</w:t>
            </w:r>
          </w:p>
        </w:tc>
        <w:tc>
          <w:p>
            <w:r>
              <w:rPr>
                <w:b w:val="false"/>
                <w:bCs w:val="false"/>
              </w:rPr>
              <w:t xml:space="preserve">AI-drafted reports standard for month-end, human-reviewed</w:t>
            </w:r>
          </w:p>
        </w:tc>
      </w:tr>
      <w:tr>
        <w:tc>
          <w:p>
            <w:r>
              <w:rPr>
                <w:b w:val="false"/>
                <w:bCs w:val="false"/>
              </w:rPr>
              <w:t xml:space="preserve">31–60 days</w:t>
            </w:r>
          </w:p>
        </w:tc>
        <w:tc>
          <w:p>
            <w:r>
              <w:rPr>
                <w:b w:val="false"/>
                <w:bCs w:val="false"/>
              </w:rPr>
              <w:t xml:space="preserve">Decide intake-channel consolidation vs. multi-channel OCR tool based on audit</w:t>
            </w:r>
          </w:p>
        </w:tc>
        <w:tc>
          <w:p>
            <w:r>
              <w:rPr>
                <w:b w:val="false"/>
                <w:bCs w:val="false"/>
              </w:rPr>
              <w:t xml:space="preserve">Ops partner + account managers</w:t>
            </w:r>
          </w:p>
        </w:tc>
        <w:tc>
          <w:p>
            <w:r>
              <w:rPr>
                <w:b w:val="false"/>
                <w:bCs w:val="false"/>
              </w:rPr>
              <w:t xml:space="preserve">2-hr decision meeting</w:t>
            </w:r>
          </w:p>
        </w:tc>
        <w:tc>
          <w:p>
            <w:r>
              <w:rPr>
                <w:b w:val="false"/>
                <w:bCs w:val="false"/>
              </w:rPr>
              <w:t xml:space="preserve">Written decision + client communication plan</w:t>
            </w:r>
          </w:p>
        </w:tc>
      </w:tr>
      <w:tr>
        <w:tc>
          <w:p>
            <w:r>
              <w:rPr>
                <w:b w:val="false"/>
                <w:bCs w:val="false"/>
              </w:rPr>
              <w:t xml:space="preserve">31–60 days</w:t>
            </w:r>
          </w:p>
        </w:tc>
        <w:tc>
          <w:p>
            <w:r>
              <w:rPr>
                <w:b w:val="false"/>
                <w:bCs w:val="false"/>
              </w:rPr>
              <w:t xml:space="preserve">If consolidating: contact affected clients to migrate upload channel, with white-glove support for resistant clients</w:t>
            </w:r>
          </w:p>
        </w:tc>
        <w:tc>
          <w:p>
            <w:r>
              <w:rPr>
                <w:b w:val="false"/>
                <w:bCs w:val="false"/>
              </w:rPr>
              <w:t xml:space="preserve">4 account managers</w:t>
            </w:r>
          </w:p>
        </w:tc>
        <w:tc>
          <w:p>
            <w:r>
              <w:rPr>
                <w:b w:val="false"/>
                <w:bCs w:val="false"/>
              </w:rPr>
              <w:t xml:space="preserve">15–20 min/affected client</w:t>
            </w:r>
          </w:p>
        </w:tc>
        <w:tc>
          <w:p>
            <w:r>
              <w:rPr>
                <w:b w:val="false"/>
                <w:bCs w:val="false"/>
              </w:rPr>
              <w:t xml:space="preserve">≥70% of active clients migrated by Day 70</w:t>
            </w:r>
          </w:p>
        </w:tc>
      </w:tr>
      <w:tr>
        <w:tc>
          <w:p>
            <w:r>
              <w:rPr>
                <w:b w:val="false"/>
                <w:bCs w:val="false"/>
              </w:rPr>
              <w:t xml:space="preserve">31–60 days</w:t>
            </w:r>
          </w:p>
        </w:tc>
        <w:tc>
          <w:p>
            <w:r>
              <w:rPr>
                <w:b w:val="false"/>
                <w:bCs w:val="false"/>
              </w:rPr>
              <w:t xml:space="preserve">Negotiate capped/tiered pricing with categorization and receipt-tool vendors at full-book scale, not just pilot scale</w:t>
            </w:r>
          </w:p>
        </w:tc>
        <w:tc>
          <w:p>
            <w:r>
              <w:rPr>
                <w:b w:val="false"/>
                <w:bCs w:val="false"/>
              </w:rPr>
              <w:t xml:space="preserve">Ops partner</w:t>
            </w:r>
          </w:p>
        </w:tc>
        <w:tc>
          <w:p>
            <w:r>
              <w:rPr>
                <w:b w:val="false"/>
                <w:bCs w:val="false"/>
              </w:rPr>
              <w:t xml:space="preserve">2–3 hrs vendor calls</w:t>
            </w:r>
          </w:p>
        </w:tc>
        <w:tc>
          <w:p>
            <w:r>
              <w:rPr>
                <w:b w:val="false"/>
                <w:bCs w:val="false"/>
              </w:rPr>
              <w:t xml:space="preserve">Written pricing terms for next tier before scaling</w:t>
            </w:r>
          </w:p>
        </w:tc>
      </w:tr>
      <w:tr>
        <w:tc>
          <w:p>
            <w:r>
              <w:rPr>
                <w:b/>
                <w:bCs/>
              </w:rPr>
              <w:t xml:space="preserve">Day 60 gate</w:t>
            </w:r>
          </w:p>
        </w:tc>
        <w:tc>
          <w:p>
            <w:r>
              <w:rPr>
                <w:b w:val="false"/>
                <w:bCs w:val="false"/>
              </w:rPr>
              <w:t xml:space="preserve">Go/no-go: exception rate &lt;15% on pilot files (checked by platform segment); net time savings confirmed on ≥10 of 15 files</w:t>
            </w:r>
          </w:p>
        </w:tc>
        <w:tc>
          <w:p>
            <w:r>
              <w:rPr>
                <w:b w:val="false"/>
                <w:bCs w:val="false"/>
              </w:rPr>
              <w:t xml:space="preserve">Ops partner + pilot leads</w:t>
            </w:r>
          </w:p>
        </w:tc>
        <w:tc>
          <w:p>
            <w:r>
              <w:rPr>
                <w:b w:val="false"/>
                <w:bCs w:val="false"/>
              </w:rPr>
              <w:t xml:space="preserve">1 review meeting</w:t>
            </w:r>
          </w:p>
        </w:tc>
        <w:tc>
          <w:p>
            <w:r>
              <w:rPr>
                <w:b w:val="false"/>
                <w:bCs w:val="false"/>
              </w:rPr>
              <w:t xml:space="preserve">Written go decision or remediation plan</w:t>
            </w:r>
          </w:p>
        </w:tc>
      </w:tr>
      <w:tr>
        <w:tc>
          <w:p>
            <w:r>
              <w:rPr>
                <w:b w:val="false"/>
                <w:bCs w:val="false"/>
              </w:rPr>
              <w:t xml:space="preserve">61–90 days</w:t>
            </w:r>
          </w:p>
        </w:tc>
        <w:tc>
          <w:p>
            <w:r>
              <w:rPr>
                <w:b w:val="false"/>
                <w:bCs w:val="false"/>
              </w:rPr>
              <w:t xml:space="preserve">Roll out categorization tool to remaining client files firm-wide</w:t>
            </w:r>
          </w:p>
        </w:tc>
        <w:tc>
          <w:p>
            <w:r>
              <w:rPr>
                <w:b w:val="false"/>
                <w:bCs w:val="false"/>
              </w:rPr>
              <w:t xml:space="preserve">Pilot leads + ops partner</w:t>
            </w:r>
          </w:p>
        </w:tc>
        <w:tc>
          <w:p>
            <w:r>
              <w:rPr>
                <w:b w:val="false"/>
                <w:bCs w:val="false"/>
              </w:rPr>
              <w:t xml:space="preserve">1 hr/staff training + ongoing review</w:t>
            </w:r>
          </w:p>
        </w:tc>
        <w:tc>
          <w:p>
            <w:r>
              <w:rPr>
                <w:b w:val="false"/>
                <w:bCs w:val="false"/>
              </w:rPr>
              <w:t xml:space="preserve">Firm-wide categorization live</w:t>
            </w:r>
          </w:p>
        </w:tc>
      </w:tr>
      <w:tr>
        <w:tc>
          <w:p>
            <w:r>
              <w:rPr>
                <w:b w:val="false"/>
                <w:bCs w:val="false"/>
              </w:rPr>
              <w:t xml:space="preserve">61–90 days</w:t>
            </w:r>
          </w:p>
        </w:tc>
        <w:tc>
          <w:p>
            <w:r>
              <w:rPr>
                <w:b w:val="false"/>
                <w:bCs w:val="false"/>
              </w:rPr>
              <w:t xml:space="preserve">Deploy receipt/invoice OCR tool (Hubdoc or Dext, per Phase 2 decision)</w:t>
            </w:r>
          </w:p>
        </w:tc>
        <w:tc>
          <w:p>
            <w:r>
              <w:rPr>
                <w:b w:val="false"/>
                <w:bCs w:val="false"/>
              </w:rPr>
              <w:t xml:space="preserve">Account managers + bookkeeping staff</w:t>
            </w:r>
          </w:p>
        </w:tc>
        <w:tc>
          <w:p>
            <w:r>
              <w:rPr>
                <w:b w:val="false"/>
                <w:bCs w:val="false"/>
              </w:rPr>
              <w:t xml:space="preserve">4–6 hrs setup</w:t>
            </w:r>
          </w:p>
        </w:tc>
        <w:tc>
          <w:p>
            <w:r>
              <w:rPr>
                <w:b w:val="false"/>
                <w:bCs w:val="false"/>
              </w:rPr>
              <w:t xml:space="preserve">OCR tool live on eligible/migrated clients</w:t>
            </w:r>
          </w:p>
        </w:tc>
      </w:tr>
      <w:tr>
        <w:tc>
          <w:p>
            <w:r>
              <w:rPr>
                <w:b w:val="false"/>
                <w:bCs w:val="false"/>
              </w:rPr>
              <w:t xml:space="preserve">61–90 days</w:t>
            </w:r>
          </w:p>
        </w:tc>
        <w:tc>
          <w:p>
            <w:r>
              <w:rPr>
                <w:b w:val="false"/>
                <w:bCs w:val="false"/>
              </w:rPr>
              <w:t xml:space="preserve">Run Phase 3 training with explicit space for the "comfortable but not proactive" third of the team to raise concerns, peer-led by pilot leads</w:t>
            </w:r>
          </w:p>
        </w:tc>
        <w:tc>
          <w:p>
            <w:r>
              <w:rPr>
                <w:b w:val="false"/>
                <w:bCs w:val="false"/>
              </w:rPr>
              <w:t xml:space="preserve">Pilot-lead staff accountants</w:t>
            </w:r>
          </w:p>
        </w:tc>
        <w:tc>
          <w:p>
            <w:r>
              <w:rPr>
                <w:b w:val="false"/>
                <w:bCs w:val="false"/>
              </w:rPr>
              <w:t xml:space="preserve">1 hr/staff</w:t>
            </w:r>
          </w:p>
        </w:tc>
        <w:tc>
          <w:p>
            <w:r>
              <w:rPr>
                <w:b w:val="false"/>
                <w:bCs w:val="false"/>
              </w:rPr>
              <w:t xml:space="preserve">Training complete; concerns log reviewed by ops partner</w:t>
            </w:r>
          </w:p>
        </w:tc>
      </w:tr>
      <w:tr>
        <w:tc>
          <w:p>
            <w:r>
              <w:rPr>
                <w:b w:val="false"/>
                <w:bCs w:val="false"/>
              </w:rPr>
              <w:t xml:space="preserve">61–90 days</w:t>
            </w:r>
          </w:p>
        </w:tc>
        <w:tc>
          <w:p>
            <w:r>
              <w:rPr>
                <w:b w:val="false"/>
                <w:bCs w:val="false"/>
              </w:rPr>
              <w:t xml:space="preserve">Track actual hours saved per workflow against the 34-hr/week baseline</w:t>
            </w:r>
          </w:p>
        </w:tc>
        <w:tc>
          <w:p>
            <w:r>
              <w:rPr>
                <w:b w:val="false"/>
                <w:bCs w:val="false"/>
              </w:rPr>
              <w:t xml:space="preserve">Ops partner</w:t>
            </w:r>
          </w:p>
        </w:tc>
        <w:tc>
          <w:p>
            <w:r>
              <w:rPr>
                <w:b w:val="false"/>
                <w:bCs w:val="false"/>
              </w:rPr>
              <w:t xml:space="preserve">1 hr/week logging</w:t>
            </w:r>
          </w:p>
        </w:tc>
        <w:tc>
          <w:p>
            <w:r>
              <w:rPr>
                <w:b w:val="false"/>
                <w:bCs w:val="false"/>
              </w:rPr>
              <w:t xml:space="preserve">Week-12 hours-saved report compiled</w:t>
            </w:r>
          </w:p>
        </w:tc>
      </w:tr>
      <w:tr>
        <w:tc>
          <w:p>
            <w:r>
              <w:rPr>
                <w:b w:val="false"/>
                <w:bCs w:val="false"/>
              </w:rPr>
              <w:t xml:space="preserve">61–90 days</w:t>
            </w:r>
          </w:p>
        </w:tc>
        <w:tc>
          <w:p>
            <w:r>
              <w:rPr>
                <w:b w:val="false"/>
                <w:bCs w:val="false"/>
              </w:rPr>
              <w:t xml:space="preserve">Begin tracking time on next 5 new-client onboardings to build missing baseline for Use Case 4</w:t>
            </w:r>
          </w:p>
        </w:tc>
        <w:tc>
          <w:p>
            <w:r>
              <w:rPr>
                <w:b w:val="false"/>
                <w:bCs w:val="false"/>
              </w:rPr>
              <w:t xml:space="preserve">Ops partner</w:t>
            </w:r>
          </w:p>
        </w:tc>
        <w:tc>
          <w:p>
            <w:r>
              <w:rPr>
                <w:b w:val="false"/>
                <w:bCs w:val="false"/>
              </w:rPr>
              <w:t xml:space="preserve">~15 min/onboarding</w:t>
            </w:r>
          </w:p>
        </w:tc>
        <w:tc>
          <w:p>
            <w:r>
              <w:rPr>
                <w:b w:val="false"/>
                <w:bCs w:val="false"/>
              </w:rPr>
              <w:t xml:space="preserve">Onboarding baseline dataset started</w:t>
            </w:r>
          </w:p>
        </w:tc>
      </w:tr>
      <w:tr>
        <w:tc>
          <w:p>
            <w:r>
              <w:rPr>
                <w:b w:val="false"/>
                <w:bCs w:val="false"/>
              </w:rPr>
              <w:t xml:space="preserve">61–90 days</w:t>
            </w:r>
          </w:p>
        </w:tc>
        <w:tc>
          <w:p>
            <w:r>
              <w:rPr>
                <w:b w:val="false"/>
                <w:bCs w:val="false"/>
              </w:rPr>
              <w:t xml:space="preserve">Begin scoping advisory-service offerings to absorb freed capacity</w:t>
            </w:r>
          </w:p>
        </w:tc>
        <w:tc>
          <w:p>
            <w:r>
              <w:rPr>
                <w:b w:val="false"/>
                <w:bCs w:val="false"/>
              </w:rPr>
              <w:t xml:space="preserve">Both partners</w:t>
            </w:r>
          </w:p>
        </w:tc>
        <w:tc>
          <w:p>
            <w:r>
              <w:rPr>
                <w:b w:val="false"/>
                <w:bCs w:val="false"/>
              </w:rPr>
              <w:t xml:space="preserve">1–2 planning sessions</w:t>
            </w:r>
          </w:p>
        </w:tc>
        <w:tc>
          <w:p>
            <w:r>
              <w:rPr>
                <w:b w:val="false"/>
                <w:bCs w:val="false"/>
              </w:rPr>
              <w:t xml:space="preserve">Draft advisory-offering concept ready for next phase</w:t>
            </w:r>
          </w:p>
        </w:tc>
      </w:tr>
      <w:tr>
        <w:tc>
          <w:p>
            <w:r>
              <w:rPr>
                <w:b/>
                <w:bCs/>
              </w:rPr>
              <w:t xml:space="preserve">Day 90 gate</w:t>
            </w:r>
          </w:p>
        </w:tc>
        <w:tc>
          <w:p>
            <w:r>
              <w:rPr>
                <w:b w:val="false"/>
                <w:bCs w:val="false"/>
              </w:rPr>
              <w:t xml:space="preserve">Joint partner review: hours saved vs. 15-hr/week target; decide scale, adjust tool mix, or extend pilot; set quarterly budget review cadence</w:t>
            </w:r>
          </w:p>
        </w:tc>
        <w:tc>
          <w:p>
            <w:r>
              <w:rPr>
                <w:b w:val="false"/>
                <w:bCs w:val="false"/>
              </w:rPr>
              <w:t xml:space="preserve">Both partners</w:t>
            </w:r>
          </w:p>
        </w:tc>
        <w:tc>
          <w:p>
            <w:r>
              <w:rPr>
                <w:b w:val="false"/>
                <w:bCs w:val="false"/>
              </w:rPr>
              <w:t xml:space="preserve">1 review meeting</w:t>
            </w:r>
          </w:p>
        </w:tc>
        <w:tc>
          <w:p>
            <w:r>
              <w:rPr>
                <w:b w:val="false"/>
                <w:bCs w:val="false"/>
              </w:rPr>
              <w:t xml:space="preserve">Written Day-90 decision memo</w:t>
            </w:r>
          </w:p>
        </w:tc>
      </w:tr>
    </w:tbl>
    <w:p>
      <w:pPr>
        <w:spacing w:after="120"/>
      </w:pPr>
    </w:p>
    <w:p>
      <w:pPr>
        <w:spacing w:after="200"/>
      </w:pPr>
      <w:r>
        <w:rPr>
          <w:b w:val="false"/>
          <w:bCs w:val="false"/>
        </w:rPr>
        <w:t xml:space="preserve">Three notes on how to use this table operationally. First, the effort estimates are additive but not evenly distributed — the ops partner and the two pilot-lead staff accountants carry the heaviest load across all 90 days (roughly 30–35 hours and 30–36 hours combined, respectively, as detailed in the roadmap section), while the remaining 12 bookkeeping staff have a comparatively light footprint (1–2 hours each, concentrated in Phase 3 training) until firm-wide rollout begins. This is intentional: the plan is built to prove value with a small, accountable group before asking the broader team to change daily habits, consistent with the pilot-then-scale pattern identified in the research section as the dominant approach among comparable firms.</w:t>
      </w:r>
    </w:p>
    <w:p>
      <w:pPr>
        <w:spacing w:after="200"/>
      </w:pPr>
      <w:r>
        <w:rPr>
          <w:b w:val="false"/>
          <w:bCs w:val="false"/>
        </w:rPr>
        <w:t xml:space="preserve">Second, every gate in this table is a real decision point, not a formality. The Day 30 and Day 60 gates both carry explicit "if not met, delay rather than proceed" logic, because the two most consequential risks identified earlier in this report — the skeptical partner's veto and categorization accuracy degrading at scale — are precisely the failure modes these gates are designed to catch before they propagate into a firm-wide rollout.</w:t>
      </w:r>
    </w:p>
    <w:p>
      <w:pPr>
        <w:spacing w:after="200"/>
      </w:pPr>
      <w:r>
        <w:rPr>
          <w:b w:val="false"/>
          <w:bCs w:val="false"/>
        </w:rPr>
        <w:t xml:space="preserve">Third, the table intentionally leaves the onboarding/chart-of-accounts use case as a data-gathering exercise rather than a build item in this 90-day window, consistent with its "deferred, stretch goal" status established in the Use-Case Prioritization section — there simply isn't a reliable baseline yet to justify committing tool budget or staff time to it before Day 90.</w:t>
      </w:r>
    </w:p>
    <w:p>
      <w:pPr>
        <w:pStyle w:val="Heading1"/>
      </w:pPr>
      <w:r>
        <w:t xml:space="preserve">Appendix: Methodology &amp; Assumptions</w:t>
      </w:r>
    </w:p>
    <w:p>
      <w:pPr>
        <w:pStyle w:val="Heading2"/>
      </w:pPr>
      <w:r>
        <w:rPr>
          <w:b w:val="false"/>
          <w:bCs w:val="false"/>
        </w:rPr>
        <w:t xml:space="preserve">Appendix: Methodology &amp; Assumptions</w:t>
      </w:r>
    </w:p>
    <w:p>
      <w:pPr>
        <w:spacing w:after="200"/>
      </w:pPr>
      <w:r>
        <w:rPr>
          <w:b/>
          <w:bCs/>
        </w:rPr>
        <w:t xml:space="preserve">Methodology</w:t>
      </w:r>
    </w:p>
    <w:p>
      <w:pPr>
        <w:spacing w:after="200"/>
      </w:pPr>
      <w:r>
        <w:rPr>
          <w:b w:val="false"/>
          <w:bCs w:val="false"/>
        </w:rPr>
        <w:t xml:space="preserve">This analysis was structured as a four-part diagnostic-to-plan sequence: (1) an industry and market context review, drawing on published sector benchmarking to establish what "normal" and "leading" performance looks like for firms comparable to Bellwood &amp; Cole in size, revenue, and service mix; (2) an AI readiness assessment applying a four-dimension framework (data, process, people, governance) scored against the client's own intake responses; (3) a use-case prioritization exercise applying a weighted impact/effort model across four factors (time savings, governance risk, trust-building value, feasibility) rather than a single metric, since an earlier single-metric pass was shown in the findings section to produce a misleading sequencing recommendation; and (4) a 90-day roadmap and tool shortlist built directly from the prioritization output, structured around a Crawl-Walk-Run adoption model to account explicitly for the mixed skill/appetite profile and partner-level skepticism identified in intake.</w:t>
      </w:r>
    </w:p>
    <w:p>
      <w:pPr>
        <w:spacing w:after="200"/>
      </w:pPr>
      <w:r>
        <w:rPr>
          <w:b w:val="false"/>
          <w:bCs w:val="false"/>
        </w:rPr>
        <w:t xml:space="preserve">Throughout, the working principle was to ground every recommendation in a number the client actually provided wherever possible, and to clearly separate those client-sourced figures from external benchmarks or consultant-derived assumptions used to fill gaps. The client's own hours/week breakdown (18 hrs categorization/reconciliation, 10 hrs data entry, 6 hrs reporting) was treated as the most reliable input in this engagement and used as the anchor for all time-savings projections; external benchmark ranges were applied to that anchor rather than substituted for it.</w:t>
      </w:r>
    </w:p>
    <w:p>
      <w:pPr>
        <w:spacing w:after="200"/>
      </w:pPr>
      <w:r>
        <w:rPr>
          <w:b/>
          <w:bCs/>
        </w:rPr>
        <w:t xml:space="preserve">Assumptions Made Where Intake Lacked a Specific Number</w:t>
      </w:r>
    </w:p>
    <w:p>
      <w:pPr>
        <w:spacing w:after="200"/>
      </w:pPr>
      <w:r>
        <w:rPr>
          <w:b w:val="false"/>
          <w:bCs w:val="false"/>
        </w:rPr>
        <w:t xml:space="preserve">The following assumptions were necessary because the client intake did not provide a specific figure, and are flagged here individually so they can be validated or corrected with more client input:</w:t>
      </w:r>
    </w:p>
    <w:p>
      <w:pPr>
        <w:spacing w:after="80"/>
        <w:ind w:left="360"/>
      </w:pPr>
      <w:r>
        <w:rPr>
          <w:b w:val="false"/>
          <w:bCs w:val="false"/>
        </w:rPr>
        <w:t xml:space="preserve">•  </w:t>
      </w:r>
      <w:r>
        <w:rPr>
          <w:b/>
          <w:bCs/>
        </w:rPr>
        <w:t xml:space="preserve">Onboarding/chart-of-accounts time baseline</w:t>
      </w:r>
      <w:r>
        <w:rPr>
          <w:b w:val="false"/>
          <w:bCs w:val="false"/>
        </w:rPr>
        <w:t xml:space="preserve"> — the intake states a qualitative goal ("speed up new-client onboarding") but provides no current hours/week figure. This report explicitly declined to estimate a number and instead recommended a data-collection step (tracking the next 5 onboardings) rather than guessing. This is the single largest data gap in the engagement.</w:t>
      </w:r>
    </w:p>
    <w:p>
      <w:pPr>
        <w:spacing w:after="80"/>
        <w:ind w:left="360"/>
      </w:pPr>
      <w:r>
        <w:rPr>
          <w:b w:val="false"/>
          <w:bCs w:val="false"/>
        </w:rPr>
        <w:t xml:space="preserve">•  </w:t>
      </w:r>
      <w:r>
        <w:rPr>
          <w:b/>
          <w:bCs/>
        </w:rPr>
        <w:t xml:space="preserve">Time-savings reduction percentages applied to categorization, data entry, and reporting tasks</w:t>
      </w:r>
      <w:r>
        <w:rPr>
          <w:b w:val="false"/>
          <w:bCs w:val="false"/>
        </w:rPr>
        <w:t xml:space="preserve"> (25–40%, 50–70%, and ~40–60% respectively) — these are external benchmark ranges (see below), not client-specific figures, applied to the client's own hours baseline. The actual reduction Bellwood &amp; Cole achieves could fall outside these ranges depending on client-file complexity not captured in intake.</w:t>
      </w:r>
    </w:p>
    <w:p>
      <w:pPr>
        <w:spacing w:after="80"/>
        <w:ind w:left="360"/>
      </w:pPr>
      <w:r>
        <w:rPr>
          <w:b w:val="false"/>
          <w:bCs w:val="false"/>
        </w:rPr>
        <w:t xml:space="preserve">•  </w:t>
      </w:r>
      <w:r>
        <w:rPr>
          <w:b/>
          <w:bCs/>
        </w:rPr>
        <w:t xml:space="preserve">Client count and per-client tool pricing exposure</w:t>
      </w:r>
      <w:r>
        <w:rPr>
          <w:b w:val="false"/>
          <w:bCs w:val="false"/>
        </w:rPr>
        <w:t xml:space="preserve"> — the intake gives team size (22 people) and revenue ($3.1M) but never states the actual number of active client files. Tool cost estimates in the shortlist (e.g., "$300–$600/month for a firm managing 60–100 client files") assumed a client count in that range, back-calculated from typical revenue-per-client ratios in bookkeeping firms of this size — this was not confirmed by the client and should be verified before final vendor contracting.</w:t>
      </w:r>
    </w:p>
    <w:p>
      <w:pPr>
        <w:spacing w:after="80"/>
        <w:ind w:left="360"/>
      </w:pPr>
      <w:r>
        <w:rPr>
          <w:b w:val="false"/>
          <w:bCs w:val="false"/>
        </w:rPr>
        <w:t xml:space="preserve">•  </w:t>
      </w:r>
      <w:r>
        <w:rPr>
          <w:b/>
          <w:bCs/>
        </w:rPr>
        <w:t xml:space="preserve">Distribution of the "comfortable but not proactive" third of the team</w:t>
      </w:r>
      <w:r>
        <w:rPr>
          <w:b w:val="false"/>
          <w:bCs w:val="false"/>
        </w:rPr>
        <w:t xml:space="preserve"> — intake states this segment exists but doesn't identify which specific individuals fall into it, their tenure, or whether any have prior negative experiences with new-tool rollouts. Mitigation plans for this group are therefore generic to the category rather than tailored to named individuals.</w:t>
      </w:r>
    </w:p>
    <w:p>
      <w:pPr>
        <w:spacing w:after="80"/>
        <w:ind w:left="360"/>
      </w:pPr>
      <w:r>
        <w:rPr>
          <w:b w:val="false"/>
          <w:bCs w:val="false"/>
        </w:rPr>
        <w:t xml:space="preserve">•  </w:t>
      </w:r>
      <w:r>
        <w:rPr>
          <w:b/>
          <w:bCs/>
        </w:rPr>
        <w:t xml:space="preserve">Xero-specific accuracy expectations</w:t>
      </w:r>
      <w:r>
        <w:rPr>
          <w:b w:val="false"/>
          <w:bCs w:val="false"/>
        </w:rPr>
        <w:t xml:space="preserve"> — no client data exists on whether the ~15% Xero client segment has historically had more or fewer bookkeeping errors/complexity than the QBO segment. The recommendation to over-sample Xero files in the pilot is a precautionary assumption based on general vendor-landscape patterns (QBO-first tool design), not client-specific evidence of a Xero-specific problem.</w:t>
      </w:r>
    </w:p>
    <w:p>
      <w:pPr>
        <w:spacing w:after="80"/>
        <w:ind w:left="360"/>
      </w:pPr>
      <w:r>
        <w:rPr>
          <w:b w:val="false"/>
          <w:bCs w:val="false"/>
        </w:rPr>
        <w:t xml:space="preserve">•  </w:t>
      </w:r>
      <w:r>
        <w:rPr>
          <w:b/>
          <w:bCs/>
        </w:rPr>
        <w:t xml:space="preserve">Which specific partner is "ops-focused" versus which is the identified skeptic</w:t>
      </w:r>
      <w:r>
        <w:rPr>
          <w:b w:val="false"/>
          <w:bCs w:val="false"/>
        </w:rPr>
        <w:t xml:space="preserve"> — intake describes the skeptic's concern but does not name either partner or confirm the other partner is willing/able to own the governance and vendor-selection workload assigned to them throughout the roadmap. The plan assumes a clean division of labor between the two partners that has not been confirmed.</w:t>
      </w:r>
    </w:p>
    <w:p>
      <w:pPr>
        <w:spacing w:after="80"/>
        <w:ind w:left="360"/>
      </w:pPr>
      <w:r>
        <w:rPr>
          <w:b w:val="false"/>
          <w:bCs w:val="false"/>
        </w:rPr>
        <w:t xml:space="preserve">•  </w:t>
      </w:r>
      <w:r>
        <w:rPr>
          <w:b/>
          <w:bCs/>
        </w:rPr>
        <w:t xml:space="preserve">Client tolerance for changing document-submission habits</w:t>
      </w:r>
      <w:r>
        <w:rPr>
          <w:b w:val="false"/>
          <w:bCs w:val="false"/>
        </w:rPr>
        <w:t xml:space="preserve"> — the intake mentions some clients still mail paper, which was read as a signal of low tech engagement, but no data exists on how many clients fall into each intake channel or how they would react to a requested change. The 70%-migration target and "white-glove support for resistant clients" mitigation are both assumption-based placeholders pending the Phase 1 audit's actual findings.</w:t>
      </w:r>
    </w:p>
    <w:p>
      <w:pPr>
        <w:spacing w:after="80"/>
        <w:ind w:left="360"/>
      </w:pPr>
      <w:r>
        <w:rPr>
          <w:b w:val="false"/>
          <w:bCs w:val="false"/>
        </w:rPr>
        <w:t xml:space="preserve">•  </w:t>
      </w:r>
      <w:r>
        <w:rPr>
          <w:b/>
          <w:bCs/>
        </w:rPr>
        <w:t xml:space="preserve">Realization-rate differential between advisory and compliance bookkeeping work</w:t>
      </w:r>
      <w:r>
        <w:rPr>
          <w:b w:val="false"/>
          <w:bCs w:val="false"/>
        </w:rPr>
        <w:t xml:space="preserve"> — the claim that advisory work "commands materially higher realization rates" is an industry-general pattern, not a Bellwood &amp; Cole-specific figure; the firm's actual billing rates and realization rates by service line were not provided in intake.</w:t>
      </w:r>
    </w:p>
    <w:p>
      <w:pPr>
        <w:spacing w:after="200"/>
      </w:pPr>
      <w:r>
        <w:rPr>
          <w:b/>
          <w:bCs/>
        </w:rPr>
        <w:t xml:space="preserve">Benchmark Sources Referenced</w:t>
      </w:r>
    </w:p>
    <w:p>
      <w:pPr>
        <w:spacing w:after="200"/>
      </w:pPr>
      <w:r>
        <w:rPr>
          <w:b w:val="false"/>
          <w:bCs w:val="false"/>
        </w:rPr>
        <w:t xml:space="preserve">This analysis referenced the following categories of external benchmark data, cited generally rather than as specific verified publications, since the client engagement did not include primary-source benchmark verification: AICPA and CPA.com annual practice-trend and technology surveys (used for talent-pipeline and disruption-ranking claims); National Society of Accountants and CPA.com/Sleeter Group practice benchmarking data (used for labor-allocation and automation-driven time-savings ranges); general SMB professional-services technology-spend benchmarking (used for the 1.5–3% of revenue tech-spend estimate, explicitly labeled in the report body as not accounting-specific); and vendor-published compliance documentation (SOC 2 Type II status) for the shortlisted tools, which should be re-verified directly with each vendor before contracting, as attestation status can change and this report's characterization is current only as of the research conducted for this engagement.</w:t>
      </w:r>
    </w:p>
    <w:p>
      <w:pPr>
        <w:spacing w:after="200"/>
      </w:pPr>
      <w:r>
        <w:rPr>
          <w:b/>
          <w:bCs/>
        </w:rPr>
        <w:t xml:space="preserve">Confidence Notes</w:t>
      </w:r>
    </w:p>
    <w:p>
      <w:pPr>
        <w:spacing w:after="200"/>
      </w:pPr>
      <w:r>
        <w:rPr>
          <w:b w:val="false"/>
          <w:bCs w:val="false"/>
        </w:rPr>
        <w:t xml:space="preserve">The financial and operational figures Bellwood &amp; Cole provided directly (team composition, hours/week by task, budget ceiling, systems in use) are high-confidence and form a solid foundation for the recommendations built on top of them. Confidence drops meaningfully in three areas the client should weigh in on before final execution: first, the onboarding use case rests on no client data at all and should be treated as a placeholder, not a real prioritization; second, the tool-cost projections depend on an unconfirmed client-file count and should be re-validated with actual vendor quotes against Bellwood &amp; Cole's real client roster before budget is finalized; and third, the entire trust-building sequence assumes a specific, cooperative division of labor between the two partners that intake never explicitly confirmed — if the "ops-focused" partner is less available or less willing to own governance and vendor work than assumed, the 90-day timeline would need to be revisited. Client input on these three points would materially strengthen the plan's reliability.</w:t>
      </w:r>
    </w:p>
    <w:sectPr>
      <w:headerReference w:type="default" r:id="rId7"/>
      <w:headerReference w:type="first" r:id="rId8"/>
      <w:footerReference w:type="default" r:id="rId9"/>
      <w:footerReference w:type="first" r:id="rId10"/>
      <w:pgSz w:w="11906" w:h="16838" w:orient="portrait"/>
      <w:pgMar w:top="1440" w:right="1440" w:bottom="1440" w:left="1440" w:header="708" w:footer="708" w:gutter="0"/>
      <w:pgNumType/>
      <w:titlePg/>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Bdr>
        <w:top w:val="single" w:color="DAE1E5" w:sz="4"/>
      </w:pBdr>
      <w:spacing w:before="160"/>
      <w:jc w:val="center"/>
    </w:pPr>
    <w:r>
      <w:rPr>
        <w:rFonts w:ascii="Arial" w:cs="Arial" w:eastAsia="Arial" w:hAnsi="Arial"/>
        <w:color w:val="5B6B70"/>
        <w:sz w:val="18"/>
        <w:szCs w:val="18"/>
      </w:rPr>
      <w:t xml:space="preserve">Page </w:t>
      <w:fldChar w:fldCharType="begin"/>
      <w:instrText xml:space="preserve">PAGE</w:instrText>
      <w:fldChar w:fldCharType="separate"/>
      <w:fldChar w:fldCharType="end"/>
      <w:t xml:space="preserve"> of </w:t>
      <w:fldChar w:fldCharType="begin"/>
      <w:instrText xml:space="preserve">NUMPAGES</w:instrText>
      <w:fldChar w:fldCharType="separate"/>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p>
    <w:pPr>
      <w:pBdr>
        <w:bottom w:val="single" w:color="DAE1E5" w:sz="4"/>
      </w:pBdr>
      <w:spacing w:after="160"/>
      <w:jc w:val="right"/>
    </w:pPr>
    <w:r>
      <w:rPr>
        <w:rFonts w:ascii="Arial" w:cs="Arial" w:eastAsia="Arial" w:hAnsi="Arial"/>
        <w:color w:val="5B6B70"/>
        <w:sz w:val="16"/>
        <w:szCs w:val="16"/>
      </w:rPr>
      <w:t xml:space="preserve">AI-Adoption Roadmap — Sample Deliverable</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updateFields/>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cs="Arial" w:eastAsia="Arial" w:hAnsi="Arial"/>
        <w:color w:val="003540"/>
        <w:sz w:val="22"/>
        <w:szCs w:val="22"/>
      </w:rPr>
    </w:rPrDefault>
    <w:pPrDefault>
      <w:pPr>
        <w:spacing w:after="200" w:line="276"/>
      </w:pPr>
    </w:pPrDefault>
  </w:docDefaults>
  <w:style w:type="paragraph" w:styleId="Title">
    <w:name w:val="Title"/>
    <w:basedOn w:val="Normal"/>
    <w:next w:val="Normal"/>
    <w:qFormat/>
    <w:pPr>
      <w:spacing w:after="240"/>
    </w:pPr>
    <w:rPr>
      <w:rFonts w:ascii="Arial" w:cs="Arial" w:eastAsia="Arial" w:hAnsi="Arial"/>
      <w:b/>
      <w:bCs/>
      <w:color w:val="F15A24"/>
      <w:sz w:val="64"/>
      <w:szCs w:val="64"/>
    </w:rPr>
  </w:style>
  <w:style w:type="paragraph" w:styleId="Heading1">
    <w:name w:val="Heading 1"/>
    <w:basedOn w:val="Normal"/>
    <w:next w:val="Normal"/>
    <w:qFormat/>
    <w:pPr>
      <w:spacing w:after="240" w:before="480"/>
    </w:pPr>
    <w:rPr>
      <w:rFonts w:ascii="Arial" w:cs="Arial" w:eastAsia="Arial" w:hAnsi="Arial"/>
      <w:b/>
      <w:bCs/>
      <w:color w:val="003540"/>
      <w:sz w:val="32"/>
      <w:szCs w:val="32"/>
    </w:rPr>
  </w:style>
  <w:style w:type="paragraph" w:styleId="Heading2">
    <w:name w:val="Heading 2"/>
    <w:basedOn w:val="Normal"/>
    <w:next w:val="Normal"/>
    <w:qFormat/>
    <w:pPr>
      <w:spacing w:after="180" w:before="360"/>
    </w:pPr>
    <w:rPr>
      <w:rFonts w:ascii="Arial" w:cs="Arial" w:eastAsia="Arial" w:hAnsi="Arial"/>
      <w:b/>
      <w:bCs/>
      <w:color w:val="003540"/>
      <w:sz w:val="26"/>
      <w:szCs w:val="26"/>
    </w:rPr>
  </w:style>
  <w:style w:type="paragraph" w:styleId="Heading3">
    <w:name w:val="Heading 3"/>
    <w:basedOn w:val="Normal"/>
    <w:next w:val="Normal"/>
    <w:qFormat/>
    <w:pPr>
      <w:spacing w:after="140" w:before="280"/>
    </w:pPr>
    <w:rPr>
      <w:rFonts w:ascii="Arial" w:cs="Arial" w:eastAsia="Arial" w:hAnsi="Arial"/>
      <w:b/>
      <w:bCs/>
      <w:color w:val="003540"/>
      <w:sz w:val="22"/>
      <w:szCs w:val="22"/>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header" Target="header1.xml"/><Relationship Id="rId8" Type="http://schemas.openxmlformats.org/officeDocument/2006/relationships/header" Target="header2.xml"/><Relationship Id="rId9" Type="http://schemas.openxmlformats.org/officeDocument/2006/relationships/footer" Target="footer1.xml"/><Relationship Id="rId10" Type="http://schemas.openxmlformats.org/officeDocument/2006/relationships/footer" Target="footer2.xml"/><Relationship Id="rId11"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er2.xml.rels><?xml version="1.0" encoding="UTF-8"?><Relationships xmlns="http://schemas.openxmlformats.org/package/2006/relationships"/>
</file>

<file path=word/_rels/footnotes.xml.rels><?xml version="1.0" encoding="UTF-8"?><Relationships xmlns="http://schemas.openxmlformats.org/package/2006/relationships"/>
</file>

<file path=word/_rels/header1.xml.rels><?xml version="1.0" encoding="UTF-8"?><Relationships xmlns="http://schemas.openxmlformats.org/package/2006/relationships"/>
</file>

<file path=word/_rels/header2.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2026-08-27T14:52:10.280Z</dcterms:created>
  <dcterms:modified xsi:type="dcterms:W3CDTF">2026-08-27T14:52:10.280Z</dcterms:modified>
</cp:coreProperties>
</file>

<file path=docProps/custom.xml><?xml version="1.0" encoding="utf-8"?>
<Properties xmlns="http://schemas.openxmlformats.org/officeDocument/2006/custom-properties" xmlns:vt="http://schemas.openxmlformats.org/officeDocument/2006/docPropsVTypes"/>
</file>